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66A2" w14:textId="77777777" w:rsidR="00CF1453" w:rsidRPr="00CF1453" w:rsidRDefault="00CF1453" w:rsidP="00CB2D62">
      <w:pPr>
        <w:pBdr>
          <w:top w:val="triple" w:sz="4" w:space="1" w:color="0070C0"/>
          <w:left w:val="triple" w:sz="4" w:space="4" w:color="0070C0"/>
          <w:bottom w:val="triple" w:sz="4" w:space="1" w:color="0070C0"/>
          <w:right w:val="triple" w:sz="4" w:space="4" w:color="0070C0"/>
        </w:pBdr>
        <w:rPr>
          <w:b/>
          <w:bCs/>
          <w:color w:val="002060"/>
          <w:sz w:val="36"/>
          <w:szCs w:val="36"/>
        </w:rPr>
      </w:pPr>
      <w:r w:rsidRPr="00CF1453">
        <w:rPr>
          <w:b/>
          <w:bCs/>
          <w:color w:val="002060"/>
          <w:sz w:val="36"/>
          <w:szCs w:val="36"/>
        </w:rPr>
        <w:t xml:space="preserve">Low Pay Commission </w:t>
      </w:r>
    </w:p>
    <w:p w14:paraId="519EC849" w14:textId="5395C85D" w:rsidR="00CF1453" w:rsidRPr="00CF1453" w:rsidRDefault="00CF1453" w:rsidP="00CB2D62">
      <w:pPr>
        <w:pBdr>
          <w:top w:val="triple" w:sz="4" w:space="1" w:color="0070C0"/>
          <w:left w:val="triple" w:sz="4" w:space="4" w:color="0070C0"/>
          <w:bottom w:val="triple" w:sz="4" w:space="1" w:color="0070C0"/>
          <w:right w:val="triple" w:sz="4" w:space="4" w:color="0070C0"/>
        </w:pBdr>
        <w:rPr>
          <w:b/>
          <w:bCs/>
          <w:color w:val="002060"/>
        </w:rPr>
      </w:pPr>
      <w:r w:rsidRPr="00CF1453">
        <w:rPr>
          <w:b/>
          <w:bCs/>
          <w:color w:val="002060"/>
        </w:rPr>
        <w:t xml:space="preserve">National Living Wage &amp; National Minimum Wage consultation </w:t>
      </w:r>
    </w:p>
    <w:p w14:paraId="1EC25312" w14:textId="55D46E78" w:rsidR="00CF1453" w:rsidRPr="00CF1453" w:rsidRDefault="00CF1453" w:rsidP="00CB2D62">
      <w:pPr>
        <w:pBdr>
          <w:top w:val="triple" w:sz="4" w:space="1" w:color="0070C0"/>
          <w:left w:val="triple" w:sz="4" w:space="4" w:color="0070C0"/>
          <w:bottom w:val="triple" w:sz="4" w:space="1" w:color="0070C0"/>
          <w:right w:val="triple" w:sz="4" w:space="4" w:color="0070C0"/>
        </w:pBdr>
        <w:rPr>
          <w:b/>
          <w:bCs/>
          <w:color w:val="0070C0"/>
        </w:rPr>
      </w:pPr>
      <w:r w:rsidRPr="00CF1453">
        <w:rPr>
          <w:b/>
          <w:bCs/>
          <w:color w:val="0070C0"/>
        </w:rPr>
        <w:t>Response for employers</w:t>
      </w:r>
    </w:p>
    <w:p w14:paraId="5DA569EA" w14:textId="77777777" w:rsidR="00CF1453" w:rsidRDefault="00CF1453" w:rsidP="00CB2D62">
      <w:pPr>
        <w:pBdr>
          <w:top w:val="triple" w:sz="4" w:space="1" w:color="0070C0"/>
          <w:left w:val="triple" w:sz="4" w:space="4" w:color="0070C0"/>
          <w:bottom w:val="triple" w:sz="4" w:space="1" w:color="0070C0"/>
          <w:right w:val="triple" w:sz="4" w:space="4" w:color="0070C0"/>
        </w:pBdr>
        <w:rPr>
          <w:color w:val="002060"/>
          <w:sz w:val="22"/>
          <w:szCs w:val="22"/>
        </w:rPr>
      </w:pPr>
    </w:p>
    <w:p w14:paraId="164DF724" w14:textId="0BF99E6C" w:rsidR="00CF1453" w:rsidRPr="00CF1453" w:rsidRDefault="00CF1453" w:rsidP="00CB2D62">
      <w:pPr>
        <w:pBdr>
          <w:top w:val="triple" w:sz="4" w:space="1" w:color="0070C0"/>
          <w:left w:val="triple" w:sz="4" w:space="4" w:color="0070C0"/>
          <w:bottom w:val="triple" w:sz="4" w:space="1" w:color="0070C0"/>
          <w:right w:val="triple" w:sz="4" w:space="4" w:color="0070C0"/>
        </w:pBdr>
        <w:rPr>
          <w:b/>
          <w:bCs/>
          <w:color w:val="002060"/>
        </w:rPr>
      </w:pPr>
      <w:r w:rsidRPr="00CF1453">
        <w:rPr>
          <w:b/>
          <w:bCs/>
          <w:color w:val="002060"/>
        </w:rPr>
        <w:t>Introduction</w:t>
      </w:r>
    </w:p>
    <w:p w14:paraId="2B788E91" w14:textId="6B09D41C" w:rsidR="00FF2ECD" w:rsidRPr="00CF1453" w:rsidRDefault="00CF1453" w:rsidP="00CB2D62">
      <w:pPr>
        <w:pBdr>
          <w:top w:val="triple" w:sz="4" w:space="1" w:color="0070C0"/>
          <w:left w:val="triple" w:sz="4" w:space="4" w:color="0070C0"/>
          <w:bottom w:val="triple" w:sz="4" w:space="1" w:color="0070C0"/>
          <w:right w:val="triple" w:sz="4" w:space="4" w:color="0070C0"/>
        </w:pBdr>
        <w:spacing w:after="120"/>
        <w:rPr>
          <w:color w:val="002060"/>
          <w:sz w:val="22"/>
          <w:szCs w:val="22"/>
        </w:rPr>
      </w:pPr>
      <w:r w:rsidRPr="00CF1453">
        <w:rPr>
          <w:color w:val="002060"/>
          <w:sz w:val="22"/>
          <w:szCs w:val="22"/>
        </w:rPr>
        <w:t>To support members responding to the Low Pay Commission consultation, SNIPEF has prepared model answers for the questions we believe are most relevant to apprenticeship recruitment, training and wage rates in our profession.</w:t>
      </w:r>
      <w:r w:rsidR="00FF2ECD" w:rsidRPr="00FF2ECD">
        <w:rPr>
          <w:color w:val="002060"/>
          <w:sz w:val="22"/>
          <w:szCs w:val="22"/>
        </w:rPr>
        <w:t xml:space="preserve"> </w:t>
      </w:r>
      <w:r w:rsidR="00FF2ECD" w:rsidRPr="00CF1453">
        <w:rPr>
          <w:color w:val="002060"/>
          <w:sz w:val="22"/>
          <w:szCs w:val="22"/>
        </w:rPr>
        <w:t xml:space="preserve">The list of numbers below relates to the </w:t>
      </w:r>
      <w:r w:rsidR="00FF2ECD" w:rsidRPr="00FF2ECD">
        <w:rPr>
          <w:color w:val="002060"/>
          <w:sz w:val="22"/>
          <w:szCs w:val="22"/>
        </w:rPr>
        <w:t>Low Pay Commission</w:t>
      </w:r>
      <w:r w:rsidR="00BA1269">
        <w:rPr>
          <w:color w:val="002060"/>
          <w:sz w:val="22"/>
          <w:szCs w:val="22"/>
        </w:rPr>
        <w:t>,</w:t>
      </w:r>
      <w:r w:rsidR="00FF2ECD" w:rsidRPr="00CF1453">
        <w:rPr>
          <w:color w:val="002060"/>
          <w:sz w:val="22"/>
          <w:szCs w:val="22"/>
        </w:rPr>
        <w:t xml:space="preserve"> </w:t>
      </w:r>
      <w:r w:rsidR="009B25F5" w:rsidRPr="009B25F5">
        <w:rPr>
          <w:color w:val="002060"/>
          <w:sz w:val="22"/>
          <w:szCs w:val="22"/>
        </w:rPr>
        <w:t>Baroness Philippa Stroud</w:t>
      </w:r>
      <w:r w:rsidR="00BA1269">
        <w:rPr>
          <w:color w:val="002060"/>
          <w:sz w:val="22"/>
          <w:szCs w:val="22"/>
        </w:rPr>
        <w:t>’s</w:t>
      </w:r>
      <w:r w:rsidR="009B25F5" w:rsidRPr="009B25F5">
        <w:rPr>
          <w:color w:val="002060"/>
          <w:sz w:val="22"/>
          <w:szCs w:val="22"/>
        </w:rPr>
        <w:t xml:space="preserve"> </w:t>
      </w:r>
      <w:r w:rsidR="004441B7">
        <w:rPr>
          <w:color w:val="002060"/>
          <w:sz w:val="22"/>
          <w:szCs w:val="22"/>
        </w:rPr>
        <w:t>letter</w:t>
      </w:r>
      <w:r w:rsidR="004441B7" w:rsidRPr="00CF1453">
        <w:rPr>
          <w:color w:val="002060"/>
          <w:sz w:val="22"/>
          <w:szCs w:val="22"/>
        </w:rPr>
        <w:t xml:space="preserve"> </w:t>
      </w:r>
      <w:r w:rsidR="004441B7">
        <w:rPr>
          <w:color w:val="002060"/>
          <w:sz w:val="22"/>
          <w:szCs w:val="22"/>
        </w:rPr>
        <w:t>which lists many questions</w:t>
      </w:r>
      <w:r w:rsidR="00FF2ECD" w:rsidRPr="00CF1453">
        <w:rPr>
          <w:color w:val="002060"/>
          <w:sz w:val="22"/>
          <w:szCs w:val="22"/>
        </w:rPr>
        <w:t xml:space="preserve">. </w:t>
      </w:r>
      <w:r w:rsidR="00C43817">
        <w:rPr>
          <w:color w:val="002060"/>
          <w:sz w:val="22"/>
          <w:szCs w:val="22"/>
        </w:rPr>
        <w:t xml:space="preserve">If you would like to answer </w:t>
      </w:r>
      <w:r w:rsidR="007D2FA8">
        <w:rPr>
          <w:color w:val="002060"/>
          <w:sz w:val="22"/>
          <w:szCs w:val="22"/>
        </w:rPr>
        <w:t xml:space="preserve">all the questions a copy of their letter can be found </w:t>
      </w:r>
      <w:r w:rsidR="00AD13B3" w:rsidRPr="00AD13B3">
        <w:rPr>
          <w:b/>
          <w:bCs/>
          <w:color w:val="00B050"/>
          <w:sz w:val="22"/>
          <w:szCs w:val="22"/>
        </w:rPr>
        <w:fldChar w:fldCharType="begin"/>
      </w:r>
      <w:r w:rsidR="00AD13B3" w:rsidRPr="00AD13B3">
        <w:rPr>
          <w:b/>
          <w:bCs/>
          <w:color w:val="00B050"/>
          <w:sz w:val="22"/>
          <w:szCs w:val="22"/>
        </w:rPr>
        <w:instrText>HYPERLINK "https://snipef.org/wp-content/uploads/2026/06/2026-LPC-consultation-letter.pdf"</w:instrText>
      </w:r>
      <w:r w:rsidR="00AD13B3" w:rsidRPr="00AD13B3">
        <w:rPr>
          <w:b/>
          <w:bCs/>
          <w:color w:val="00B050"/>
          <w:sz w:val="22"/>
          <w:szCs w:val="22"/>
        </w:rPr>
      </w:r>
      <w:r w:rsidR="00AD13B3" w:rsidRPr="00AD13B3">
        <w:rPr>
          <w:b/>
          <w:bCs/>
          <w:color w:val="00B050"/>
          <w:sz w:val="22"/>
          <w:szCs w:val="22"/>
        </w:rPr>
        <w:fldChar w:fldCharType="separate"/>
      </w:r>
      <w:r w:rsidR="007D2FA8" w:rsidRPr="00AD13B3">
        <w:rPr>
          <w:rStyle w:val="Hyperlink"/>
          <w:rFonts w:cs="Aptos"/>
          <w:b/>
          <w:bCs/>
          <w:color w:val="00B050"/>
          <w:sz w:val="22"/>
          <w:szCs w:val="22"/>
        </w:rPr>
        <w:t>here</w:t>
      </w:r>
      <w:r w:rsidR="00AD13B3" w:rsidRPr="00AD13B3">
        <w:rPr>
          <w:b/>
          <w:bCs/>
          <w:color w:val="00B050"/>
          <w:sz w:val="22"/>
          <w:szCs w:val="22"/>
        </w:rPr>
        <w:fldChar w:fldCharType="end"/>
      </w:r>
      <w:r w:rsidR="007D2FA8">
        <w:rPr>
          <w:color w:val="002060"/>
          <w:sz w:val="22"/>
          <w:szCs w:val="22"/>
        </w:rPr>
        <w:t>.</w:t>
      </w:r>
    </w:p>
    <w:p w14:paraId="6125AB92" w14:textId="183031BB" w:rsidR="00CF1453" w:rsidRDefault="00CF1453" w:rsidP="00CB2D62">
      <w:pPr>
        <w:pBdr>
          <w:top w:val="triple" w:sz="4" w:space="1" w:color="0070C0"/>
          <w:left w:val="triple" w:sz="4" w:space="4" w:color="0070C0"/>
          <w:bottom w:val="triple" w:sz="4" w:space="1" w:color="0070C0"/>
          <w:right w:val="triple" w:sz="4" w:space="4" w:color="0070C0"/>
        </w:pBdr>
        <w:spacing w:after="120"/>
        <w:rPr>
          <w:color w:val="002060"/>
          <w:sz w:val="22"/>
          <w:szCs w:val="22"/>
        </w:rPr>
      </w:pPr>
      <w:r w:rsidRPr="00CF1453">
        <w:rPr>
          <w:color w:val="002060"/>
          <w:sz w:val="22"/>
          <w:szCs w:val="22"/>
        </w:rPr>
        <w:t xml:space="preserve">The answers </w:t>
      </w:r>
      <w:r w:rsidR="003F5128">
        <w:rPr>
          <w:color w:val="002060"/>
          <w:sz w:val="22"/>
          <w:szCs w:val="22"/>
        </w:rPr>
        <w:t xml:space="preserve">we have provided </w:t>
      </w:r>
      <w:r w:rsidRPr="00CF1453">
        <w:rPr>
          <w:color w:val="002060"/>
          <w:sz w:val="22"/>
          <w:szCs w:val="22"/>
        </w:rPr>
        <w:t>are intended as a guide and can be copied, pasted and adapted to reflect your own business experience. Members are also welcome to amend the wording</w:t>
      </w:r>
      <w:r w:rsidR="002F3ACF">
        <w:rPr>
          <w:color w:val="002060"/>
          <w:sz w:val="22"/>
          <w:szCs w:val="22"/>
        </w:rPr>
        <w:t xml:space="preserve"> and</w:t>
      </w:r>
      <w:r w:rsidRPr="00CF1453">
        <w:rPr>
          <w:color w:val="002060"/>
          <w:sz w:val="22"/>
          <w:szCs w:val="22"/>
        </w:rPr>
        <w:t xml:space="preserve"> add examples.</w:t>
      </w:r>
    </w:p>
    <w:p w14:paraId="7E28B90F" w14:textId="0988C587" w:rsidR="001D5649" w:rsidRDefault="004C708A" w:rsidP="00436438">
      <w:pPr>
        <w:pBdr>
          <w:top w:val="triple" w:sz="4" w:space="1" w:color="0070C0"/>
          <w:left w:val="triple" w:sz="4" w:space="4" w:color="0070C0"/>
          <w:bottom w:val="triple" w:sz="4" w:space="1" w:color="0070C0"/>
          <w:right w:val="triple" w:sz="4" w:space="4" w:color="0070C0"/>
        </w:pBdr>
        <w:spacing w:after="120"/>
        <w:rPr>
          <w:rFonts w:ascii="Calibri" w:hAnsi="Calibri" w:cs="Calibri"/>
          <w:b/>
          <w:bCs/>
          <w:color w:val="00B050"/>
        </w:rPr>
      </w:pPr>
      <w:r w:rsidRPr="003F5128">
        <w:rPr>
          <w:color w:val="002060"/>
        </w:rPr>
        <w:t xml:space="preserve">You should email your </w:t>
      </w:r>
      <w:r w:rsidR="00CB2D62">
        <w:rPr>
          <w:color w:val="002060"/>
        </w:rPr>
        <w:t>response</w:t>
      </w:r>
      <w:r w:rsidRPr="003F5128">
        <w:rPr>
          <w:color w:val="002060"/>
        </w:rPr>
        <w:t xml:space="preserve"> to </w:t>
      </w:r>
      <w:hyperlink r:id="rId7" w:history="1">
        <w:r w:rsidR="001D5649" w:rsidRPr="003F5128">
          <w:rPr>
            <w:rStyle w:val="Hyperlink"/>
            <w:rFonts w:ascii="Calibri" w:eastAsiaTheme="majorEastAsia" w:hAnsi="Calibri" w:cs="Calibri"/>
            <w:b/>
            <w:bCs/>
            <w:color w:val="00B050"/>
          </w:rPr>
          <w:t>lpc@lowpay.gov.uk</w:t>
        </w:r>
      </w:hyperlink>
    </w:p>
    <w:p w14:paraId="570463DA" w14:textId="70AD9A3C" w:rsidR="00436438" w:rsidRPr="00436438" w:rsidRDefault="00436438" w:rsidP="00436438">
      <w:pPr>
        <w:pBdr>
          <w:top w:val="triple" w:sz="4" w:space="1" w:color="0070C0"/>
          <w:left w:val="triple" w:sz="4" w:space="4" w:color="0070C0"/>
          <w:bottom w:val="triple" w:sz="4" w:space="1" w:color="0070C0"/>
          <w:right w:val="triple" w:sz="4" w:space="4" w:color="0070C0"/>
        </w:pBdr>
        <w:rPr>
          <w:color w:val="002060"/>
          <w:sz w:val="22"/>
          <w:szCs w:val="22"/>
        </w:rPr>
      </w:pPr>
      <w:r w:rsidRPr="00436438">
        <w:rPr>
          <w:color w:val="002060"/>
          <w:sz w:val="22"/>
          <w:szCs w:val="22"/>
        </w:rPr>
        <w:t xml:space="preserve">If you </w:t>
      </w:r>
      <w:r w:rsidR="001566F7">
        <w:rPr>
          <w:color w:val="002060"/>
          <w:sz w:val="22"/>
          <w:szCs w:val="22"/>
        </w:rPr>
        <w:t xml:space="preserve">have any </w:t>
      </w:r>
      <w:r w:rsidR="00EF5467">
        <w:rPr>
          <w:color w:val="002060"/>
          <w:sz w:val="22"/>
          <w:szCs w:val="22"/>
        </w:rPr>
        <w:t xml:space="preserve">enquiries about completing </w:t>
      </w:r>
      <w:r w:rsidR="007423E0">
        <w:rPr>
          <w:color w:val="002060"/>
          <w:sz w:val="22"/>
          <w:szCs w:val="22"/>
        </w:rPr>
        <w:t xml:space="preserve">your response, please contact </w:t>
      </w:r>
      <w:hyperlink r:id="rId8" w:history="1">
        <w:r w:rsidR="007423E0" w:rsidRPr="00E0110C">
          <w:rPr>
            <w:rStyle w:val="Hyperlink"/>
            <w:rFonts w:cs="Aptos"/>
            <w:sz w:val="22"/>
            <w:szCs w:val="22"/>
          </w:rPr>
          <w:t>linda.ferguson@snipef.org</w:t>
        </w:r>
      </w:hyperlink>
      <w:r w:rsidR="007423E0">
        <w:rPr>
          <w:color w:val="002060"/>
          <w:sz w:val="22"/>
          <w:szCs w:val="22"/>
        </w:rPr>
        <w:t xml:space="preserve"> or </w:t>
      </w:r>
      <w:hyperlink r:id="rId9" w:history="1">
        <w:r w:rsidR="007423E0" w:rsidRPr="00E0110C">
          <w:rPr>
            <w:rStyle w:val="Hyperlink"/>
            <w:rFonts w:cs="Aptos"/>
            <w:sz w:val="22"/>
            <w:szCs w:val="22"/>
          </w:rPr>
          <w:t>stephanie.lowe@snipef.org</w:t>
        </w:r>
      </w:hyperlink>
      <w:r w:rsidR="007423E0">
        <w:rPr>
          <w:color w:val="002060"/>
          <w:sz w:val="22"/>
          <w:szCs w:val="22"/>
        </w:rPr>
        <w:t xml:space="preserve"> </w:t>
      </w:r>
    </w:p>
    <w:p w14:paraId="2E1CDCE7" w14:textId="77777777" w:rsidR="00CB2D62" w:rsidRPr="003F5128" w:rsidRDefault="00CB2D62" w:rsidP="00CB2D62">
      <w:pPr>
        <w:pBdr>
          <w:top w:val="triple" w:sz="4" w:space="1" w:color="0070C0"/>
          <w:left w:val="triple" w:sz="4" w:space="4" w:color="0070C0"/>
          <w:bottom w:val="triple" w:sz="4" w:space="1" w:color="0070C0"/>
          <w:right w:val="triple" w:sz="4" w:space="4" w:color="0070C0"/>
        </w:pBdr>
        <w:rPr>
          <w:b/>
          <w:bCs/>
          <w:color w:val="00B050"/>
        </w:rPr>
      </w:pPr>
    </w:p>
    <w:p w14:paraId="677B6EC3" w14:textId="6309241F" w:rsidR="009A2935" w:rsidRDefault="00D87603" w:rsidP="00CF1453">
      <w:pPr>
        <w:rPr>
          <w:color w:val="002060"/>
          <w:sz w:val="22"/>
          <w:szCs w:val="22"/>
        </w:rPr>
      </w:pPr>
      <w:r>
        <w:rPr>
          <w:color w:val="002060"/>
          <w:sz w:val="22"/>
          <w:szCs w:val="22"/>
        </w:rPr>
        <w:t xml:space="preserve"> </w:t>
      </w:r>
    </w:p>
    <w:p w14:paraId="6BE985DC" w14:textId="752AB050" w:rsidR="00D87603" w:rsidRPr="00B35E24" w:rsidRDefault="00D87603" w:rsidP="00D87603">
      <w:pPr>
        <w:spacing w:after="160"/>
        <w:rPr>
          <w:b/>
          <w:bCs/>
          <w:color w:val="002060"/>
          <w:sz w:val="28"/>
          <w:szCs w:val="28"/>
        </w:rPr>
      </w:pPr>
      <w:r w:rsidRPr="00B35E24">
        <w:rPr>
          <w:b/>
          <w:bCs/>
          <w:color w:val="002060"/>
          <w:sz w:val="28"/>
          <w:szCs w:val="28"/>
        </w:rPr>
        <w:t>My details</w:t>
      </w:r>
    </w:p>
    <w:p w14:paraId="1EB87A1A" w14:textId="6167362E" w:rsidR="007D445F" w:rsidRPr="009E0348" w:rsidRDefault="00CB2D62" w:rsidP="009E0348">
      <w:pPr>
        <w:pStyle w:val="ListParagraph"/>
        <w:ind w:left="0"/>
        <w:contextualSpacing w:val="0"/>
        <w:rPr>
          <w:color w:val="002060"/>
          <w:sz w:val="22"/>
          <w:szCs w:val="22"/>
        </w:rPr>
      </w:pPr>
      <w:r w:rsidRPr="009E0348">
        <w:rPr>
          <w:rStyle w:val="display-with-image-display"/>
          <w:rFonts w:cs="Helvetica"/>
          <w:b/>
          <w:bCs/>
          <w:color w:val="00B050"/>
          <w:sz w:val="22"/>
          <w:szCs w:val="22"/>
        </w:rPr>
        <w:t xml:space="preserve"> </w:t>
      </w:r>
      <w:r w:rsidR="008B15A8" w:rsidRPr="009E0348">
        <w:rPr>
          <w:rStyle w:val="display-with-image-display"/>
          <w:rFonts w:asciiTheme="minorHAnsi" w:hAnsiTheme="minorHAnsi" w:cs="Helvetica"/>
          <w:b/>
          <w:bCs/>
          <w:color w:val="00B050"/>
          <w:sz w:val="22"/>
          <w:szCs w:val="22"/>
        </w:rPr>
        <w:t>[</w:t>
      </w:r>
      <w:r w:rsidR="008B15A8" w:rsidRPr="009E0348">
        <w:rPr>
          <w:rStyle w:val="display-with-image-display"/>
          <w:rFonts w:asciiTheme="minorHAnsi" w:eastAsiaTheme="majorEastAsia" w:hAnsiTheme="minorHAnsi" w:cs="Helvetica"/>
          <w:b/>
          <w:bCs/>
          <w:color w:val="00B050"/>
          <w:sz w:val="22"/>
          <w:szCs w:val="22"/>
        </w:rPr>
        <w:t>I am con</w:t>
      </w:r>
      <w:r w:rsidR="001466B2">
        <w:rPr>
          <w:rStyle w:val="display-with-image-display"/>
          <w:rFonts w:cs="Helvetica"/>
          <w:b/>
          <w:bCs/>
          <w:color w:val="00B050"/>
          <w:sz w:val="22"/>
          <w:szCs w:val="22"/>
        </w:rPr>
        <w:t>s</w:t>
      </w:r>
      <w:r w:rsidR="008B15A8" w:rsidRPr="009E0348">
        <w:rPr>
          <w:rStyle w:val="display-with-image-display"/>
          <w:rFonts w:asciiTheme="minorHAnsi" w:eastAsiaTheme="majorEastAsia" w:hAnsiTheme="minorHAnsi" w:cs="Helvetica"/>
          <w:b/>
          <w:bCs/>
          <w:color w:val="00B050"/>
          <w:sz w:val="22"/>
          <w:szCs w:val="22"/>
        </w:rPr>
        <w:t xml:space="preserve">ent </w:t>
      </w:r>
      <w:r w:rsidR="008B15A8" w:rsidRPr="009E0348">
        <w:rPr>
          <w:rStyle w:val="display-with-image-display"/>
          <w:rFonts w:asciiTheme="minorHAnsi" w:hAnsiTheme="minorHAnsi" w:cs="Helvetica"/>
          <w:b/>
          <w:bCs/>
          <w:color w:val="00B050"/>
          <w:sz w:val="22"/>
          <w:szCs w:val="22"/>
        </w:rPr>
        <w:t>/</w:t>
      </w:r>
      <w:r w:rsidR="008B15A8" w:rsidRPr="009E0348">
        <w:rPr>
          <w:rStyle w:val="display-with-image-display"/>
          <w:rFonts w:asciiTheme="minorHAnsi" w:eastAsiaTheme="majorEastAsia" w:hAnsiTheme="minorHAnsi" w:cs="Helvetica"/>
          <w:b/>
          <w:bCs/>
          <w:color w:val="00B050"/>
          <w:sz w:val="22"/>
          <w:szCs w:val="22"/>
        </w:rPr>
        <w:t xml:space="preserve">I do not </w:t>
      </w:r>
      <w:r w:rsidR="001466B2">
        <w:rPr>
          <w:rStyle w:val="display-with-image-display"/>
          <w:rFonts w:cs="Helvetica"/>
          <w:b/>
          <w:bCs/>
          <w:color w:val="00B050"/>
          <w:sz w:val="22"/>
          <w:szCs w:val="22"/>
        </w:rPr>
        <w:t>consent</w:t>
      </w:r>
      <w:r w:rsidR="008B15A8" w:rsidRPr="009E0348">
        <w:rPr>
          <w:rStyle w:val="display-with-image-display"/>
          <w:rFonts w:asciiTheme="minorHAnsi" w:hAnsiTheme="minorHAnsi" w:cs="Helvetica"/>
          <w:b/>
          <w:bCs/>
          <w:color w:val="00B050"/>
          <w:sz w:val="22"/>
          <w:szCs w:val="22"/>
        </w:rPr>
        <w:t>]</w:t>
      </w:r>
      <w:r w:rsidR="008B15A8" w:rsidRPr="009E0348">
        <w:rPr>
          <w:rStyle w:val="display-with-image-display"/>
          <w:rFonts w:asciiTheme="minorHAnsi" w:hAnsiTheme="minorHAnsi" w:cs="Helvetica"/>
          <w:color w:val="00B050"/>
          <w:sz w:val="22"/>
          <w:szCs w:val="22"/>
        </w:rPr>
        <w:t xml:space="preserve"> </w:t>
      </w:r>
      <w:r w:rsidR="008B15A8" w:rsidRPr="009E0348">
        <w:rPr>
          <w:rFonts w:asciiTheme="minorHAnsi" w:eastAsiaTheme="majorEastAsia" w:hAnsiTheme="minorHAnsi" w:cstheme="minorBidi"/>
          <w:color w:val="002060"/>
          <w:sz w:val="22"/>
          <w:szCs w:val="22"/>
        </w:rPr>
        <w:t>for</w:t>
      </w:r>
      <w:r w:rsidR="008B15A8" w:rsidRPr="009E0348">
        <w:rPr>
          <w:rFonts w:eastAsiaTheme="majorEastAsia"/>
          <w:color w:val="002060"/>
          <w:sz w:val="22"/>
          <w:szCs w:val="22"/>
        </w:rPr>
        <w:t xml:space="preserve"> my response to be made public</w:t>
      </w:r>
      <w:r w:rsidR="008B15A8" w:rsidRPr="009E0348">
        <w:rPr>
          <w:color w:val="002060"/>
          <w:sz w:val="22"/>
          <w:szCs w:val="22"/>
        </w:rPr>
        <w:t>.</w:t>
      </w:r>
    </w:p>
    <w:p w14:paraId="10ECCBB6" w14:textId="3B493D37" w:rsidR="002250AD" w:rsidRPr="009E0348" w:rsidRDefault="007D445F" w:rsidP="009E0348">
      <w:pPr>
        <w:pStyle w:val="ListParagraph"/>
        <w:ind w:left="0"/>
        <w:contextualSpacing w:val="0"/>
        <w:rPr>
          <w:color w:val="002060"/>
          <w:sz w:val="22"/>
          <w:szCs w:val="22"/>
        </w:rPr>
      </w:pPr>
      <w:r w:rsidRPr="009E0348">
        <w:rPr>
          <w:color w:val="002060"/>
          <w:sz w:val="22"/>
          <w:szCs w:val="22"/>
        </w:rPr>
        <w:t>My business is</w:t>
      </w:r>
      <w:r w:rsidR="009C7938" w:rsidRPr="009E0348">
        <w:rPr>
          <w:color w:val="002060"/>
          <w:sz w:val="22"/>
          <w:szCs w:val="22"/>
        </w:rPr>
        <w:t xml:space="preserve"> from</w:t>
      </w:r>
      <w:r w:rsidRPr="009E0348">
        <w:rPr>
          <w:color w:val="002060"/>
          <w:sz w:val="22"/>
          <w:szCs w:val="22"/>
        </w:rPr>
        <w:t xml:space="preserve"> the Plumbing and Heating </w:t>
      </w:r>
      <w:r w:rsidR="00ED25AD">
        <w:rPr>
          <w:color w:val="002060"/>
          <w:sz w:val="22"/>
          <w:szCs w:val="22"/>
        </w:rPr>
        <w:t>industry</w:t>
      </w:r>
      <w:r w:rsidR="009C7938" w:rsidRPr="009E0348">
        <w:rPr>
          <w:color w:val="002060"/>
          <w:sz w:val="22"/>
          <w:szCs w:val="22"/>
        </w:rPr>
        <w:t>.</w:t>
      </w:r>
    </w:p>
    <w:p w14:paraId="39931CC1" w14:textId="03B730B1" w:rsidR="00EF5C9A" w:rsidRDefault="002250AD" w:rsidP="00CB2D62">
      <w:pPr>
        <w:pStyle w:val="ListParagraph"/>
        <w:ind w:left="0"/>
        <w:contextualSpacing w:val="0"/>
        <w:rPr>
          <w:b/>
          <w:color w:val="002060"/>
          <w:sz w:val="22"/>
          <w:szCs w:val="22"/>
        </w:rPr>
      </w:pPr>
      <w:r w:rsidRPr="009E0348">
        <w:rPr>
          <w:color w:val="002060"/>
          <w:sz w:val="22"/>
          <w:szCs w:val="22"/>
        </w:rPr>
        <w:t xml:space="preserve">I am responding to </w:t>
      </w:r>
      <w:r w:rsidR="00BE338C" w:rsidRPr="00BE338C">
        <w:rPr>
          <w:color w:val="002060"/>
          <w:sz w:val="22"/>
          <w:szCs w:val="22"/>
        </w:rPr>
        <w:t>Baroness Philippa Stroud</w:t>
      </w:r>
      <w:r w:rsidR="00BE338C">
        <w:rPr>
          <w:color w:val="002060"/>
          <w:sz w:val="22"/>
          <w:szCs w:val="22"/>
        </w:rPr>
        <w:t>’s</w:t>
      </w:r>
      <w:r w:rsidR="00BE338C" w:rsidRPr="00BE338C">
        <w:rPr>
          <w:color w:val="002060"/>
          <w:sz w:val="22"/>
          <w:szCs w:val="22"/>
        </w:rPr>
        <w:t xml:space="preserve"> </w:t>
      </w:r>
      <w:r w:rsidRPr="009E0348">
        <w:rPr>
          <w:color w:val="002060"/>
          <w:sz w:val="22"/>
          <w:szCs w:val="22"/>
        </w:rPr>
        <w:t xml:space="preserve">the </w:t>
      </w:r>
      <w:r w:rsidR="002D5250">
        <w:rPr>
          <w:color w:val="002060"/>
          <w:sz w:val="22"/>
          <w:szCs w:val="22"/>
        </w:rPr>
        <w:t xml:space="preserve">letter </w:t>
      </w:r>
      <w:r w:rsidR="00A01A2D">
        <w:rPr>
          <w:color w:val="002060"/>
          <w:sz w:val="22"/>
          <w:szCs w:val="22"/>
        </w:rPr>
        <w:t>1 April 2026.</w:t>
      </w:r>
      <w:r w:rsidR="008B15A8" w:rsidRPr="009E0348">
        <w:rPr>
          <w:color w:val="002060"/>
          <w:sz w:val="22"/>
          <w:szCs w:val="22"/>
        </w:rPr>
        <w:br/>
      </w:r>
    </w:p>
    <w:p w14:paraId="4386E56B" w14:textId="0DFD054A" w:rsidR="00CF1453" w:rsidRPr="00B35E24" w:rsidRDefault="00CF1453" w:rsidP="00CF1453">
      <w:pPr>
        <w:rPr>
          <w:b/>
          <w:bCs/>
          <w:color w:val="002060"/>
          <w:sz w:val="28"/>
          <w:szCs w:val="28"/>
        </w:rPr>
      </w:pPr>
      <w:r w:rsidRPr="00B35E24">
        <w:rPr>
          <w:b/>
          <w:bCs/>
          <w:color w:val="002060"/>
          <w:sz w:val="28"/>
          <w:szCs w:val="28"/>
        </w:rPr>
        <w:t xml:space="preserve">Section: Young people </w:t>
      </w:r>
    </w:p>
    <w:p w14:paraId="7D0DAF71" w14:textId="77777777" w:rsidR="00BA0D4F" w:rsidRPr="00B35E24" w:rsidRDefault="00BA0D4F" w:rsidP="00CF1453">
      <w:pPr>
        <w:rPr>
          <w:b/>
          <w:bCs/>
          <w:color w:val="002060"/>
          <w:sz w:val="28"/>
          <w:szCs w:val="28"/>
        </w:rPr>
      </w:pPr>
    </w:p>
    <w:p w14:paraId="291C161C" w14:textId="77777777" w:rsidR="00CF1453" w:rsidRPr="00B35E24" w:rsidRDefault="00CF1453" w:rsidP="00CF1453">
      <w:pPr>
        <w:pStyle w:val="ListParagraph"/>
        <w:numPr>
          <w:ilvl w:val="0"/>
          <w:numId w:val="3"/>
        </w:numPr>
        <w:rPr>
          <w:b/>
          <w:color w:val="0070C0"/>
        </w:rPr>
      </w:pPr>
      <w:r w:rsidRPr="00B35E24">
        <w:rPr>
          <w:b/>
          <w:color w:val="0070C0"/>
        </w:rPr>
        <w:t>What is the outlook for the recruitment and employment of workers aged under 21? What is driving employers’ decisions on this?</w:t>
      </w:r>
    </w:p>
    <w:p w14:paraId="3588FAA7" w14:textId="77777777" w:rsidR="00CF1453" w:rsidRPr="00CF1453" w:rsidRDefault="00CF1453" w:rsidP="00CF1453">
      <w:pPr>
        <w:pStyle w:val="ListParagraph"/>
        <w:ind w:left="0"/>
        <w:rPr>
          <w:color w:val="002060"/>
          <w:sz w:val="22"/>
          <w:szCs w:val="22"/>
        </w:rPr>
      </w:pPr>
    </w:p>
    <w:p w14:paraId="6304A146"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The outlook for recruiting and employing workers aged under 21 in the plumbing and heating profession is challenging, particularly through apprenticeships, which are the main entry route for young people into the profession.</w:t>
      </w:r>
    </w:p>
    <w:p w14:paraId="43ABD4A5"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 xml:space="preserve">Employers remain committed to recruiting young people, but decisions are increasingly being driven by affordability, supervision requirements and the long-term cost of training. A plumbing and heating apprenticeship is a </w:t>
      </w:r>
      <w:proofErr w:type="gramStart"/>
      <w:r w:rsidRPr="00CF1453">
        <w:rPr>
          <w:b/>
          <w:color w:val="002060"/>
          <w:sz w:val="22"/>
          <w:szCs w:val="22"/>
        </w:rPr>
        <w:t>four year</w:t>
      </w:r>
      <w:proofErr w:type="gramEnd"/>
      <w:r w:rsidRPr="00CF1453">
        <w:rPr>
          <w:b/>
          <w:color w:val="002060"/>
          <w:sz w:val="22"/>
          <w:szCs w:val="22"/>
        </w:rPr>
        <w:t xml:space="preserve"> commitment</w:t>
      </w:r>
      <w:r w:rsidRPr="00CF1453">
        <w:rPr>
          <w:color w:val="002060"/>
          <w:sz w:val="22"/>
          <w:szCs w:val="22"/>
        </w:rPr>
        <w:t>. Apprentices are employed full time, attend college, require close supervision and take time to become fully productive.</w:t>
      </w:r>
    </w:p>
    <w:p w14:paraId="32098C18"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The current minimum wage framework does not sufficiently recognise this model. The Apprentice Rate applies only to apprentices aged under 19, or apprentices aged 19 and over who are in the first year of their apprenticeship. Apprentices aged 19 and over who have completed their first year must be paid at least the National Minimum Wage or National Living Wage rate for their age.</w:t>
      </w:r>
    </w:p>
    <w:p w14:paraId="33503981"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For micro and small employers, which make up over 82% of the plumbing and heating profession, this creates significant cost pressure in years two, three and four of the apprenticeship, while the apprentice remains in structured training and continues to require extensive supervision.</w:t>
      </w:r>
    </w:p>
    <w:p w14:paraId="27BAD9F7"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In a safety-critical profession, this level of supervision cannot simply be reduced to offset rising wage costs. Apprentices must be properly supported to develop competence safely and to protect the quality and safety of work carried out in people’s homes and buildings.</w:t>
      </w:r>
    </w:p>
    <w:p w14:paraId="464892E0"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lastRenderedPageBreak/>
        <w:t>Employers also carry the cost of tools, young person’s insurance, administration, college attendance and the reduced productivity of qualified staff who spend time supervising and training apprentices.</w:t>
      </w:r>
    </w:p>
    <w:p w14:paraId="1902F8D0" w14:textId="5C950227" w:rsidR="00CF1453" w:rsidRPr="00CF1453" w:rsidRDefault="00CF1453" w:rsidP="00CF1453">
      <w:pPr>
        <w:pStyle w:val="ListParagraph"/>
        <w:ind w:left="0"/>
        <w:rPr>
          <w:color w:val="002060"/>
          <w:sz w:val="22"/>
          <w:szCs w:val="22"/>
        </w:rPr>
      </w:pPr>
      <w:r w:rsidRPr="00CF1453">
        <w:rPr>
          <w:color w:val="002060"/>
          <w:sz w:val="22"/>
          <w:szCs w:val="22"/>
        </w:rPr>
        <w:t>As a result, some employers are reducing apprentice recruitment, delaying recruitment or questioning whether they can continue taking on the same number of apprentices as they have in previous years. The concern is that rising employment costs are reducing opportunities for young people to enter a skilled, safety-critical profession with strong long-term earning potential once qualified.</w:t>
      </w:r>
    </w:p>
    <w:p w14:paraId="220FF0BF" w14:textId="77777777" w:rsidR="00CF1453" w:rsidRPr="00CF1453" w:rsidRDefault="00CF1453" w:rsidP="00CF1453">
      <w:pPr>
        <w:pStyle w:val="ListParagraph"/>
        <w:ind w:left="360"/>
        <w:rPr>
          <w:color w:val="002060"/>
          <w:sz w:val="22"/>
          <w:szCs w:val="22"/>
        </w:rPr>
      </w:pPr>
    </w:p>
    <w:p w14:paraId="5893972B" w14:textId="77777777" w:rsidR="00CF1453" w:rsidRPr="00B35E24" w:rsidRDefault="00CF1453" w:rsidP="00CF1453">
      <w:pPr>
        <w:pStyle w:val="ListParagraph"/>
        <w:numPr>
          <w:ilvl w:val="0"/>
          <w:numId w:val="3"/>
        </w:numPr>
        <w:rPr>
          <w:b/>
          <w:color w:val="0070C0"/>
        </w:rPr>
      </w:pPr>
      <w:r w:rsidRPr="00B35E24">
        <w:rPr>
          <w:b/>
          <w:color w:val="0070C0"/>
        </w:rPr>
        <w:t>How have recent changes in the minimum wages for young people affected their employment prospects? You may wish to consider both employers’ decisions about hiring and pay, and young people’s decisions about employment.</w:t>
      </w:r>
    </w:p>
    <w:p w14:paraId="311B26E9" w14:textId="77777777" w:rsidR="00CF1453" w:rsidRPr="00CF1453" w:rsidRDefault="00CF1453" w:rsidP="00BA0D4F">
      <w:pPr>
        <w:spacing w:after="160"/>
        <w:rPr>
          <w:color w:val="002060"/>
          <w:sz w:val="22"/>
          <w:szCs w:val="22"/>
        </w:rPr>
      </w:pPr>
      <w:r w:rsidRPr="00CF1453">
        <w:rPr>
          <w:color w:val="002060"/>
          <w:sz w:val="22"/>
          <w:szCs w:val="22"/>
        </w:rPr>
        <w:t>Recent increases in minimum wage rates for young people have placed significant pressure on apprenticeship recruitment and retention in the plumbing and heating profession.</w:t>
      </w:r>
    </w:p>
    <w:p w14:paraId="79B08DC3" w14:textId="77777777" w:rsidR="00CF1453" w:rsidRPr="00CF1453" w:rsidRDefault="00CF1453" w:rsidP="00BA0D4F">
      <w:pPr>
        <w:spacing w:after="160"/>
        <w:rPr>
          <w:color w:val="002060"/>
          <w:sz w:val="22"/>
          <w:szCs w:val="22"/>
        </w:rPr>
      </w:pPr>
      <w:r w:rsidRPr="00CF1453">
        <w:rPr>
          <w:color w:val="002060"/>
          <w:sz w:val="22"/>
          <w:szCs w:val="22"/>
        </w:rPr>
        <w:t xml:space="preserve">The concern is not about fair pay. Employers recognise that apprentices should be paid fairly and that wages should increase as skills, competence and productivity develop. However, the pace and scale of recent increases have made it more difficult for micro and small employers to sustain the full cost of a </w:t>
      </w:r>
      <w:proofErr w:type="gramStart"/>
      <w:r w:rsidRPr="00CF1453">
        <w:rPr>
          <w:color w:val="002060"/>
          <w:sz w:val="22"/>
          <w:szCs w:val="22"/>
        </w:rPr>
        <w:t>four year</w:t>
      </w:r>
      <w:proofErr w:type="gramEnd"/>
      <w:r w:rsidRPr="00CF1453">
        <w:rPr>
          <w:color w:val="002060"/>
          <w:sz w:val="22"/>
          <w:szCs w:val="22"/>
        </w:rPr>
        <w:t xml:space="preserve"> apprenticeship.</w:t>
      </w:r>
    </w:p>
    <w:p w14:paraId="053B58DF" w14:textId="77777777" w:rsidR="00CF1453" w:rsidRPr="00CF1453" w:rsidRDefault="00CF1453" w:rsidP="00BA0D4F">
      <w:pPr>
        <w:spacing w:after="160"/>
        <w:rPr>
          <w:color w:val="002060"/>
          <w:sz w:val="22"/>
          <w:szCs w:val="22"/>
        </w:rPr>
      </w:pPr>
      <w:r w:rsidRPr="00CF1453">
        <w:rPr>
          <w:color w:val="002060"/>
          <w:sz w:val="22"/>
          <w:szCs w:val="22"/>
        </w:rPr>
        <w:t>For existing apprentices, sudden or significant increases in employment costs can place pressure on employers who are already committed to a multi-year training programme. In some cases, employers may no longer be able to sustain the wage commitment, which can place existing apprenticeships at risk. Where this happens, SNIPEF works to help affected apprentices find alternative employers so they can continue their training.</w:t>
      </w:r>
    </w:p>
    <w:p w14:paraId="50CD0D32" w14:textId="77777777" w:rsidR="00CF1453" w:rsidRPr="00CF1453" w:rsidRDefault="00CF1453" w:rsidP="00BA0D4F">
      <w:pPr>
        <w:spacing w:after="160"/>
        <w:rPr>
          <w:color w:val="002060"/>
          <w:sz w:val="22"/>
          <w:szCs w:val="22"/>
        </w:rPr>
      </w:pPr>
      <w:r w:rsidRPr="00CF1453">
        <w:rPr>
          <w:color w:val="002060"/>
          <w:sz w:val="22"/>
          <w:szCs w:val="22"/>
        </w:rPr>
        <w:t>For young people trying to enter the profession, the impact can be fewer apprenticeship opportunities. There is no shortage of young people interested in joining the profession. The issue is that the cost and risk of employing and training a young apprentice have increased significantly. In the early years of a plumbing and heating apprenticeship, especially years one and two, the apprentice is still developing competence, attending college and requiring close supervision. It can take several years before an employer receives a full productive return from that investment.</w:t>
      </w:r>
    </w:p>
    <w:p w14:paraId="65801B1E" w14:textId="77777777" w:rsidR="00CF1453" w:rsidRPr="00CF1453" w:rsidRDefault="00CF1453" w:rsidP="00BA0D4F">
      <w:pPr>
        <w:spacing w:after="160"/>
        <w:rPr>
          <w:color w:val="002060"/>
          <w:sz w:val="22"/>
          <w:szCs w:val="22"/>
        </w:rPr>
      </w:pPr>
      <w:r w:rsidRPr="00CF1453">
        <w:rPr>
          <w:color w:val="002060"/>
          <w:sz w:val="22"/>
          <w:szCs w:val="22"/>
        </w:rPr>
        <w:t>As a result, some employers may delay recruitment, reduce the number of apprentices they take on or decide not to recruit an apprentice at all.</w:t>
      </w:r>
    </w:p>
    <w:p w14:paraId="243FC67A" w14:textId="02C8E6BC" w:rsidR="00CF1453" w:rsidRPr="00CF1453" w:rsidRDefault="00CF1453" w:rsidP="00BA0D4F">
      <w:pPr>
        <w:spacing w:after="160"/>
        <w:rPr>
          <w:color w:val="002060"/>
          <w:sz w:val="22"/>
          <w:szCs w:val="22"/>
        </w:rPr>
      </w:pPr>
      <w:r w:rsidRPr="00CF1453">
        <w:rPr>
          <w:color w:val="002060"/>
          <w:sz w:val="22"/>
          <w:szCs w:val="22"/>
        </w:rPr>
        <w:t>This is an unintended consequence that risks reducing opportunities for young people and weakening the future skills pipeline for a safety-critical profession.</w:t>
      </w:r>
    </w:p>
    <w:p w14:paraId="3DADF6E9" w14:textId="77777777" w:rsidR="00CF1453" w:rsidRPr="00B35E24" w:rsidRDefault="00CF1453" w:rsidP="00BA0D4F">
      <w:pPr>
        <w:pStyle w:val="ListParagraph"/>
        <w:numPr>
          <w:ilvl w:val="0"/>
          <w:numId w:val="3"/>
        </w:numPr>
        <w:spacing w:after="160"/>
        <w:contextualSpacing w:val="0"/>
        <w:rPr>
          <w:b/>
          <w:color w:val="0070C0"/>
        </w:rPr>
      </w:pPr>
      <w:r w:rsidRPr="00B35E24">
        <w:rPr>
          <w:b/>
          <w:color w:val="0070C0"/>
        </w:rPr>
        <w:t xml:space="preserve">What approach should we take to recommending </w:t>
      </w:r>
      <w:proofErr w:type="gramStart"/>
      <w:r w:rsidRPr="00B35E24">
        <w:rPr>
          <w:b/>
          <w:color w:val="0070C0"/>
        </w:rPr>
        <w:t>18-20 Year Old</w:t>
      </w:r>
      <w:proofErr w:type="gramEnd"/>
      <w:r w:rsidRPr="00B35E24">
        <w:rPr>
          <w:b/>
          <w:color w:val="0070C0"/>
        </w:rPr>
        <w:t xml:space="preserve"> and 16-17 Year Old Rates for April 2027? For example, should we consider extending the NLW to </w:t>
      </w:r>
      <w:proofErr w:type="gramStart"/>
      <w:r w:rsidRPr="00B35E24">
        <w:rPr>
          <w:b/>
          <w:color w:val="0070C0"/>
        </w:rPr>
        <w:t>20 year olds</w:t>
      </w:r>
      <w:proofErr w:type="gramEnd"/>
      <w:r w:rsidRPr="00B35E24">
        <w:rPr>
          <w:b/>
          <w:color w:val="0070C0"/>
        </w:rPr>
        <w:t>?</w:t>
      </w:r>
    </w:p>
    <w:p w14:paraId="55E61226" w14:textId="77777777" w:rsidR="00CF1453" w:rsidRPr="00CF1453" w:rsidRDefault="00CF1453" w:rsidP="00BA0D4F">
      <w:pPr>
        <w:spacing w:after="160"/>
        <w:rPr>
          <w:color w:val="002060"/>
          <w:sz w:val="22"/>
          <w:szCs w:val="22"/>
        </w:rPr>
      </w:pPr>
      <w:r w:rsidRPr="00CF1453">
        <w:rPr>
          <w:color w:val="002060"/>
          <w:sz w:val="22"/>
          <w:szCs w:val="22"/>
        </w:rPr>
        <w:t xml:space="preserve">The Low Pay Commission (LPC) should take a cautious approach to recommending further increases in the </w:t>
      </w:r>
      <w:proofErr w:type="gramStart"/>
      <w:r w:rsidRPr="00CF1453">
        <w:rPr>
          <w:color w:val="002060"/>
          <w:sz w:val="22"/>
          <w:szCs w:val="22"/>
        </w:rPr>
        <w:t>18 to 20 Year Old</w:t>
      </w:r>
      <w:proofErr w:type="gramEnd"/>
      <w:r w:rsidRPr="00CF1453">
        <w:rPr>
          <w:color w:val="002060"/>
          <w:sz w:val="22"/>
          <w:szCs w:val="22"/>
        </w:rPr>
        <w:t xml:space="preserve"> and 16 to 17 Year Old Rates for April 2027, with particular consideration given to the impact on apprenticeship recruitment.</w:t>
      </w:r>
    </w:p>
    <w:p w14:paraId="76531CE9" w14:textId="77777777" w:rsidR="00CF1453" w:rsidRPr="00CF1453" w:rsidRDefault="00CF1453" w:rsidP="00BA0D4F">
      <w:pPr>
        <w:spacing w:after="160"/>
        <w:rPr>
          <w:color w:val="002060"/>
          <w:sz w:val="22"/>
          <w:szCs w:val="22"/>
        </w:rPr>
      </w:pPr>
      <w:r w:rsidRPr="00CF1453">
        <w:rPr>
          <w:color w:val="002060"/>
          <w:sz w:val="22"/>
          <w:szCs w:val="22"/>
        </w:rPr>
        <w:t xml:space="preserve">Our profession already has long-established apprentice wage rates agreed with the union. These recognise staged progression through a </w:t>
      </w:r>
      <w:proofErr w:type="gramStart"/>
      <w:r w:rsidRPr="00CF1453">
        <w:rPr>
          <w:color w:val="002060"/>
          <w:sz w:val="22"/>
          <w:szCs w:val="22"/>
        </w:rPr>
        <w:t>four year</w:t>
      </w:r>
      <w:proofErr w:type="gramEnd"/>
      <w:r w:rsidRPr="00CF1453">
        <w:rPr>
          <w:color w:val="002060"/>
          <w:sz w:val="22"/>
          <w:szCs w:val="22"/>
        </w:rPr>
        <w:t xml:space="preserve"> apprenticeship. The issue is that the statutory framework does not sufficiently recognise this established model.</w:t>
      </w:r>
    </w:p>
    <w:p w14:paraId="6D890011" w14:textId="77777777" w:rsidR="00CF1453" w:rsidRPr="00CF1453" w:rsidRDefault="00CF1453" w:rsidP="00BA0D4F">
      <w:pPr>
        <w:spacing w:after="160"/>
        <w:rPr>
          <w:color w:val="002060"/>
          <w:sz w:val="22"/>
          <w:szCs w:val="22"/>
        </w:rPr>
      </w:pPr>
      <w:r w:rsidRPr="00CF1453">
        <w:rPr>
          <w:color w:val="002060"/>
          <w:sz w:val="22"/>
          <w:szCs w:val="22"/>
        </w:rPr>
        <w:t xml:space="preserve">The LPC should also consider the wider labour market context for young people. At a time when youth unemployment and the number of young people not in education, employment or training </w:t>
      </w:r>
      <w:r w:rsidRPr="00CF1453">
        <w:rPr>
          <w:color w:val="002060"/>
          <w:sz w:val="22"/>
          <w:szCs w:val="22"/>
        </w:rPr>
        <w:lastRenderedPageBreak/>
        <w:t>are major national concerns, wage policy should be assessed not only by the rate paid to those already in work, but by whether it supports or reduces access to employment and training.</w:t>
      </w:r>
    </w:p>
    <w:p w14:paraId="3BD47BE5" w14:textId="77777777" w:rsidR="00CF1453" w:rsidRPr="00CF1453" w:rsidRDefault="00CF1453" w:rsidP="00BA0D4F">
      <w:pPr>
        <w:spacing w:after="160"/>
        <w:rPr>
          <w:color w:val="002060"/>
          <w:sz w:val="22"/>
          <w:szCs w:val="22"/>
        </w:rPr>
      </w:pPr>
      <w:r w:rsidRPr="00CF1453">
        <w:rPr>
          <w:color w:val="002060"/>
          <w:sz w:val="22"/>
          <w:szCs w:val="22"/>
        </w:rPr>
        <w:t xml:space="preserve">Fair pay is important, but employment also provides structure, confidence, skills, self-worth and long-term opportunity. If higher minimum wage rates reduce the number of employers able to recruit young people, the result may be fewer routes into work rather than better outcomes for young people. In our profession, this risk is particularly acute because the main entry route is a </w:t>
      </w:r>
      <w:proofErr w:type="gramStart"/>
      <w:r w:rsidRPr="00CF1453">
        <w:rPr>
          <w:color w:val="002060"/>
          <w:sz w:val="22"/>
          <w:szCs w:val="22"/>
        </w:rPr>
        <w:t>four year</w:t>
      </w:r>
      <w:proofErr w:type="gramEnd"/>
      <w:r w:rsidRPr="00CF1453">
        <w:rPr>
          <w:color w:val="002060"/>
          <w:sz w:val="22"/>
          <w:szCs w:val="22"/>
        </w:rPr>
        <w:t xml:space="preserve"> apprenticeship requiring sustained employer investment.</w:t>
      </w:r>
    </w:p>
    <w:p w14:paraId="61A1D36F" w14:textId="77777777" w:rsidR="00CF1453" w:rsidRPr="00CF1453" w:rsidRDefault="00CF1453" w:rsidP="00BA0D4F">
      <w:pPr>
        <w:spacing w:after="160"/>
        <w:rPr>
          <w:color w:val="002060"/>
          <w:sz w:val="22"/>
          <w:szCs w:val="22"/>
        </w:rPr>
      </w:pPr>
      <w:r w:rsidRPr="00CF1453">
        <w:rPr>
          <w:color w:val="002060"/>
          <w:sz w:val="22"/>
          <w:szCs w:val="22"/>
        </w:rPr>
        <w:t xml:space="preserve">For the plumbing and heating profession, the main route into employment for young people is a </w:t>
      </w:r>
      <w:proofErr w:type="gramStart"/>
      <w:r w:rsidRPr="00CF1453">
        <w:rPr>
          <w:color w:val="002060"/>
          <w:sz w:val="22"/>
          <w:szCs w:val="22"/>
        </w:rPr>
        <w:t>four year</w:t>
      </w:r>
      <w:proofErr w:type="gramEnd"/>
      <w:r w:rsidRPr="00CF1453">
        <w:rPr>
          <w:color w:val="002060"/>
          <w:sz w:val="22"/>
          <w:szCs w:val="22"/>
        </w:rPr>
        <w:t xml:space="preserve"> apprenticeship. Qualified professionals are paid well above National Living Wage rates, so the concern is not the pay of fully qualified workers. The concern is the effect of rising young worker rates on the cost of employing apprentices who remain in structured training and require extensive supervision.</w:t>
      </w:r>
    </w:p>
    <w:p w14:paraId="183941F6" w14:textId="77777777" w:rsidR="00CF1453" w:rsidRPr="00CF1453" w:rsidRDefault="00CF1453" w:rsidP="00BA0D4F">
      <w:pPr>
        <w:spacing w:after="160"/>
        <w:rPr>
          <w:color w:val="002060"/>
          <w:sz w:val="22"/>
          <w:szCs w:val="22"/>
        </w:rPr>
      </w:pPr>
      <w:r w:rsidRPr="00CF1453">
        <w:rPr>
          <w:color w:val="002060"/>
          <w:sz w:val="22"/>
          <w:szCs w:val="22"/>
        </w:rPr>
        <w:t xml:space="preserve">Extending the National Living Wage to </w:t>
      </w:r>
      <w:proofErr w:type="gramStart"/>
      <w:r w:rsidRPr="00CF1453">
        <w:rPr>
          <w:color w:val="002060"/>
          <w:sz w:val="22"/>
          <w:szCs w:val="22"/>
        </w:rPr>
        <w:t>20 year olds</w:t>
      </w:r>
      <w:proofErr w:type="gramEnd"/>
      <w:r w:rsidRPr="00CF1453">
        <w:rPr>
          <w:color w:val="002060"/>
          <w:sz w:val="22"/>
          <w:szCs w:val="22"/>
        </w:rPr>
        <w:t xml:space="preserve"> without reforming the Apprentice Rate structure would increase the cost of employing apprentices in the later years of a four year apprenticeship. This could make employers more cautious about recruiting younger entrants and may reduce the number of apprenticeship places available.</w:t>
      </w:r>
    </w:p>
    <w:p w14:paraId="67A43EC6" w14:textId="77777777" w:rsidR="00CF1453" w:rsidRPr="00CF1453" w:rsidRDefault="00CF1453" w:rsidP="00BA0D4F">
      <w:pPr>
        <w:spacing w:after="160"/>
        <w:rPr>
          <w:color w:val="002060"/>
          <w:sz w:val="22"/>
          <w:szCs w:val="22"/>
        </w:rPr>
      </w:pPr>
      <w:r w:rsidRPr="00CF1453">
        <w:rPr>
          <w:color w:val="002060"/>
          <w:sz w:val="22"/>
          <w:szCs w:val="22"/>
        </w:rPr>
        <w:t>The LPC should consider a more proportionate approach for multi-year, safety-critical apprenticeships. This could include a transitional second year apprentice rate for apprenticeships lasting three years or more, where the apprentice remains in training and is not yet fully productive.</w:t>
      </w:r>
    </w:p>
    <w:p w14:paraId="23092BEA" w14:textId="77777777" w:rsidR="00CF1453" w:rsidRPr="00CF1453" w:rsidRDefault="00CF1453" w:rsidP="00BA0D4F">
      <w:pPr>
        <w:spacing w:after="160"/>
        <w:rPr>
          <w:color w:val="002060"/>
          <w:sz w:val="22"/>
          <w:szCs w:val="22"/>
        </w:rPr>
      </w:pPr>
      <w:r w:rsidRPr="00CF1453">
        <w:rPr>
          <w:color w:val="002060"/>
          <w:sz w:val="22"/>
          <w:szCs w:val="22"/>
        </w:rPr>
        <w:t>This would provide a clearer and fairer progression between the first year Apprentice Rate and the standard age-related National Minimum Wage rates, while better recognising the supervision, training and productivity realities of longer apprenticeships.</w:t>
      </w:r>
    </w:p>
    <w:p w14:paraId="0CCDC570" w14:textId="77777777" w:rsidR="00CF1453" w:rsidRPr="00CF1453" w:rsidRDefault="00CF1453" w:rsidP="00BA0D4F">
      <w:pPr>
        <w:spacing w:after="160"/>
        <w:rPr>
          <w:color w:val="002060"/>
          <w:sz w:val="22"/>
          <w:szCs w:val="22"/>
        </w:rPr>
      </w:pPr>
    </w:p>
    <w:p w14:paraId="4D1C16E7" w14:textId="77777777" w:rsidR="00CF1453" w:rsidRPr="00B35E24" w:rsidRDefault="00CF1453" w:rsidP="00BA0D4F">
      <w:pPr>
        <w:pStyle w:val="ListParagraph"/>
        <w:numPr>
          <w:ilvl w:val="0"/>
          <w:numId w:val="3"/>
        </w:numPr>
        <w:spacing w:after="160"/>
        <w:contextualSpacing w:val="0"/>
        <w:rPr>
          <w:b/>
          <w:color w:val="0070C0"/>
        </w:rPr>
      </w:pPr>
      <w:r w:rsidRPr="00B35E24">
        <w:rPr>
          <w:b/>
          <w:color w:val="0070C0"/>
        </w:rPr>
        <w:t xml:space="preserve">The Government remains committed to aligning the </w:t>
      </w:r>
      <w:proofErr w:type="gramStart"/>
      <w:r w:rsidRPr="00B35E24">
        <w:rPr>
          <w:b/>
          <w:color w:val="0070C0"/>
        </w:rPr>
        <w:t>18 to 20 Year Old</w:t>
      </w:r>
      <w:proofErr w:type="gramEnd"/>
      <w:r w:rsidRPr="00B35E24">
        <w:rPr>
          <w:b/>
          <w:color w:val="0070C0"/>
        </w:rPr>
        <w:t xml:space="preserve"> Rate with the NLW. The LPC has full flexibility to recommend the pace and timing of that alignment. When do you think this should happen?</w:t>
      </w:r>
    </w:p>
    <w:p w14:paraId="49A7851E" w14:textId="77777777" w:rsidR="00CF1453" w:rsidRPr="00CF1453" w:rsidRDefault="00CF1453" w:rsidP="00BA0D4F">
      <w:pPr>
        <w:spacing w:after="160"/>
        <w:rPr>
          <w:color w:val="002060"/>
          <w:sz w:val="22"/>
          <w:szCs w:val="22"/>
        </w:rPr>
      </w:pPr>
      <w:r w:rsidRPr="00CF1453">
        <w:rPr>
          <w:color w:val="002060"/>
          <w:sz w:val="22"/>
          <w:szCs w:val="22"/>
        </w:rPr>
        <w:t>Alignment should not proceed until the impact on apprenticeship recruitment has been properly assessed and safeguards are in place for longer, safety-critical apprenticeships.</w:t>
      </w:r>
    </w:p>
    <w:p w14:paraId="3AAAAAA3" w14:textId="77777777" w:rsidR="00CF1453" w:rsidRPr="00CF1453" w:rsidRDefault="00CF1453" w:rsidP="00BA0D4F">
      <w:pPr>
        <w:spacing w:after="160"/>
        <w:rPr>
          <w:color w:val="002060"/>
          <w:sz w:val="22"/>
          <w:szCs w:val="22"/>
        </w:rPr>
      </w:pPr>
      <w:r w:rsidRPr="00CF1453">
        <w:rPr>
          <w:color w:val="002060"/>
          <w:sz w:val="22"/>
          <w:szCs w:val="22"/>
        </w:rPr>
        <w:t>In the plumbing and heating profession, employers are not using apprenticeships as a source of low-cost labour. They are making a long-term investment in training, supervision and competence. Apprenticeships are essential to maintaining the future workforce needed for safe water, sanitation, heating and low carbon technologies.</w:t>
      </w:r>
    </w:p>
    <w:p w14:paraId="406107C8" w14:textId="77777777" w:rsidR="00CF1453" w:rsidRPr="00CF1453" w:rsidRDefault="00CF1453" w:rsidP="00BA0D4F">
      <w:pPr>
        <w:spacing w:after="160"/>
        <w:rPr>
          <w:color w:val="002060"/>
          <w:sz w:val="22"/>
          <w:szCs w:val="22"/>
        </w:rPr>
      </w:pPr>
      <w:r w:rsidRPr="00CF1453">
        <w:rPr>
          <w:color w:val="002060"/>
          <w:sz w:val="22"/>
          <w:szCs w:val="22"/>
        </w:rPr>
        <w:t xml:space="preserve">If the </w:t>
      </w:r>
      <w:proofErr w:type="gramStart"/>
      <w:r w:rsidRPr="00CF1453">
        <w:rPr>
          <w:color w:val="002060"/>
          <w:sz w:val="22"/>
          <w:szCs w:val="22"/>
        </w:rPr>
        <w:t>18 to 20 Year Old</w:t>
      </w:r>
      <w:proofErr w:type="gramEnd"/>
      <w:r w:rsidRPr="00CF1453">
        <w:rPr>
          <w:color w:val="002060"/>
          <w:sz w:val="22"/>
          <w:szCs w:val="22"/>
        </w:rPr>
        <w:t xml:space="preserve"> Rate is aligned with the National Living Wage too quickly, without changes to the Apprentice Rate structure, the cost of employing apprentices in years two, three and four will rise further. This could reduce the number of employers willing or able to take on apprentices, particularly among micro and small businesses.</w:t>
      </w:r>
    </w:p>
    <w:p w14:paraId="657451F4" w14:textId="77777777" w:rsidR="00CF1453" w:rsidRPr="00CF1453" w:rsidRDefault="00CF1453" w:rsidP="00BA0D4F">
      <w:pPr>
        <w:spacing w:after="160"/>
        <w:rPr>
          <w:color w:val="002060"/>
          <w:sz w:val="22"/>
          <w:szCs w:val="22"/>
        </w:rPr>
      </w:pPr>
      <w:r w:rsidRPr="00CF1453">
        <w:rPr>
          <w:color w:val="002060"/>
          <w:sz w:val="22"/>
          <w:szCs w:val="22"/>
        </w:rPr>
        <w:t>The priority should be to protect young people’s access to employment and training. For that reason, any alignment should be phased carefully and should be accompanied by a specific wage pathway for multi-year apprenticeships, including consideration of a transitional second year apprentice rate.</w:t>
      </w:r>
    </w:p>
    <w:p w14:paraId="3A78F6BA" w14:textId="77777777" w:rsidR="00CF1453" w:rsidRPr="00CF1453" w:rsidRDefault="00CF1453" w:rsidP="00BA0D4F">
      <w:pPr>
        <w:spacing w:after="160"/>
        <w:rPr>
          <w:color w:val="002060"/>
          <w:sz w:val="22"/>
          <w:szCs w:val="22"/>
        </w:rPr>
      </w:pPr>
      <w:r w:rsidRPr="00CF1453">
        <w:rPr>
          <w:color w:val="002060"/>
          <w:sz w:val="22"/>
          <w:szCs w:val="22"/>
        </w:rPr>
        <w:t>This would allow young people to continue accessing high-quality apprenticeships while ensuring that pay progression remains fair and sustainable.</w:t>
      </w:r>
    </w:p>
    <w:p w14:paraId="4D9E056D" w14:textId="77777777" w:rsidR="00CF1453" w:rsidRPr="00CF1453" w:rsidRDefault="00CF1453" w:rsidP="00CF1453">
      <w:pPr>
        <w:rPr>
          <w:b/>
          <w:bCs/>
          <w:color w:val="002060"/>
          <w:sz w:val="22"/>
          <w:szCs w:val="22"/>
        </w:rPr>
      </w:pPr>
    </w:p>
    <w:p w14:paraId="02AA5716" w14:textId="4A6E0AFA" w:rsidR="00CF1453" w:rsidRPr="00B35E24" w:rsidRDefault="00CF1453" w:rsidP="00CF1453">
      <w:pPr>
        <w:rPr>
          <w:b/>
          <w:bCs/>
          <w:color w:val="002060"/>
          <w:sz w:val="28"/>
          <w:szCs w:val="28"/>
        </w:rPr>
      </w:pPr>
      <w:r w:rsidRPr="00B35E24">
        <w:rPr>
          <w:b/>
          <w:bCs/>
          <w:color w:val="002060"/>
          <w:sz w:val="28"/>
          <w:szCs w:val="28"/>
        </w:rPr>
        <w:t>Section: Apprentices</w:t>
      </w:r>
    </w:p>
    <w:p w14:paraId="185CEBD6" w14:textId="77777777" w:rsidR="00B35E24" w:rsidRPr="00B35E24" w:rsidRDefault="00B35E24" w:rsidP="00CF1453">
      <w:pPr>
        <w:rPr>
          <w:b/>
          <w:bCs/>
          <w:color w:val="002060"/>
          <w:sz w:val="28"/>
          <w:szCs w:val="28"/>
        </w:rPr>
      </w:pPr>
    </w:p>
    <w:p w14:paraId="5BDB8B68" w14:textId="77777777" w:rsidR="00CF1453" w:rsidRPr="00B35E24" w:rsidRDefault="00CF1453" w:rsidP="00CF1453">
      <w:pPr>
        <w:pStyle w:val="ListParagraph"/>
        <w:numPr>
          <w:ilvl w:val="0"/>
          <w:numId w:val="2"/>
        </w:numPr>
        <w:rPr>
          <w:b/>
          <w:color w:val="0070C0"/>
        </w:rPr>
      </w:pPr>
      <w:r w:rsidRPr="00B35E24">
        <w:rPr>
          <w:b/>
          <w:color w:val="0070C0"/>
        </w:rPr>
        <w:t>What are your views on the effectiveness and operation of the Apprentice Rate?</w:t>
      </w:r>
    </w:p>
    <w:p w14:paraId="107FF944" w14:textId="77777777" w:rsidR="00CF1453" w:rsidRPr="00CF1453" w:rsidRDefault="00CF1453" w:rsidP="00CF1453">
      <w:pPr>
        <w:pStyle w:val="ListParagraph"/>
        <w:ind w:left="360"/>
        <w:rPr>
          <w:color w:val="002060"/>
          <w:sz w:val="22"/>
          <w:szCs w:val="22"/>
        </w:rPr>
      </w:pPr>
    </w:p>
    <w:p w14:paraId="188A6013" w14:textId="77777777" w:rsidR="00CF1453" w:rsidRPr="00CF1453" w:rsidRDefault="00CF1453" w:rsidP="00CF1453">
      <w:pPr>
        <w:pStyle w:val="ListParagraph"/>
        <w:ind w:left="0"/>
        <w:contextualSpacing w:val="0"/>
        <w:rPr>
          <w:b/>
          <w:color w:val="002060"/>
          <w:sz w:val="22"/>
          <w:szCs w:val="22"/>
        </w:rPr>
      </w:pPr>
      <w:r w:rsidRPr="00CF1453">
        <w:rPr>
          <w:b/>
          <w:color w:val="002060"/>
          <w:sz w:val="22"/>
          <w:szCs w:val="22"/>
        </w:rPr>
        <w:t>The Apprentice Rate is important in principle, but it does not operate effectively for longer, safety-critical apprenticeships such as plumbing and heating.</w:t>
      </w:r>
    </w:p>
    <w:p w14:paraId="0F947F7D"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 xml:space="preserve">The current structure works for shorter apprenticeships, where the apprentice may become productive relatively quickly. It is less effective for a </w:t>
      </w:r>
      <w:proofErr w:type="gramStart"/>
      <w:r w:rsidRPr="00CF1453">
        <w:rPr>
          <w:color w:val="002060"/>
          <w:sz w:val="22"/>
          <w:szCs w:val="22"/>
        </w:rPr>
        <w:t>four year</w:t>
      </w:r>
      <w:proofErr w:type="gramEnd"/>
      <w:r w:rsidRPr="00CF1453">
        <w:rPr>
          <w:color w:val="002060"/>
          <w:sz w:val="22"/>
          <w:szCs w:val="22"/>
        </w:rPr>
        <w:t xml:space="preserve"> apprenticeship, where the employer continues to provide structured training, close supervision and paid employment over a much longer period.</w:t>
      </w:r>
    </w:p>
    <w:p w14:paraId="4EEB95EE"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In the plumbing and heating profession, apprentices are not fully productive in the early years of training. They attend college, require supervision on site and must develop competence in safely before carrying out work independently. This is essential because the profession involves safety-critical work in people’s homes and building sites.</w:t>
      </w:r>
    </w:p>
    <w:p w14:paraId="3EE3BC27"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 xml:space="preserve">The current Apprentice Rate applies only to apprentices aged under 19, or apprentices aged 19 and over who are in the first year of their apprenticeship. After that point, age-related National Minimum Wage or National Living Wage rates apply, even though the apprentice may still be in the early stages of a </w:t>
      </w:r>
      <w:proofErr w:type="gramStart"/>
      <w:r w:rsidRPr="00CF1453">
        <w:rPr>
          <w:color w:val="002060"/>
          <w:sz w:val="22"/>
          <w:szCs w:val="22"/>
        </w:rPr>
        <w:t>four year</w:t>
      </w:r>
      <w:proofErr w:type="gramEnd"/>
      <w:r w:rsidRPr="00CF1453">
        <w:rPr>
          <w:color w:val="002060"/>
          <w:sz w:val="22"/>
          <w:szCs w:val="22"/>
        </w:rPr>
        <w:t xml:space="preserve"> training programme.</w:t>
      </w:r>
    </w:p>
    <w:p w14:paraId="41B60533"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 xml:space="preserve">Our profession already has long-established apprentice wage rates agreed with the union. These recognise staged progression through a </w:t>
      </w:r>
      <w:proofErr w:type="gramStart"/>
      <w:r w:rsidRPr="00CF1453">
        <w:rPr>
          <w:color w:val="002060"/>
          <w:sz w:val="22"/>
          <w:szCs w:val="22"/>
        </w:rPr>
        <w:t>four year</w:t>
      </w:r>
      <w:proofErr w:type="gramEnd"/>
      <w:r w:rsidRPr="00CF1453">
        <w:rPr>
          <w:color w:val="002060"/>
          <w:sz w:val="22"/>
          <w:szCs w:val="22"/>
        </w:rPr>
        <w:t xml:space="preserve"> apprenticeship. The issue is that the statutory framework does not sufficiently recognise this established model.</w:t>
      </w:r>
    </w:p>
    <w:p w14:paraId="7EF257FB"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This creates a sharp increase in employment cost before the apprentice has reached full productivity. For micro and small employers, this can make apprentice recruitment harder to sustain.</w:t>
      </w:r>
    </w:p>
    <w:p w14:paraId="32262BF3" w14:textId="77777777" w:rsidR="00CF1453" w:rsidRPr="00CF1453" w:rsidRDefault="00CF1453" w:rsidP="00CF1453">
      <w:pPr>
        <w:pStyle w:val="ListParagraph"/>
        <w:ind w:left="0"/>
        <w:contextualSpacing w:val="0"/>
        <w:rPr>
          <w:color w:val="002060"/>
          <w:sz w:val="22"/>
          <w:szCs w:val="22"/>
        </w:rPr>
      </w:pPr>
      <w:r w:rsidRPr="00CF1453">
        <w:rPr>
          <w:b/>
          <w:color w:val="002060"/>
          <w:sz w:val="22"/>
          <w:szCs w:val="22"/>
        </w:rPr>
        <w:t>The LPC should consider reforming the Apprentice Rate so that it better reflects multi-year apprenticeships</w:t>
      </w:r>
      <w:r w:rsidRPr="00CF1453">
        <w:rPr>
          <w:color w:val="002060"/>
          <w:sz w:val="22"/>
          <w:szCs w:val="22"/>
        </w:rPr>
        <w:t>. A transitional second year apprentice rate for apprenticeships lasting three years or more would provide a more balanced progression between the first year Apprentice Rate and the standard age-related rates, while maintaining fair pay progression for apprentices.</w:t>
      </w:r>
    </w:p>
    <w:p w14:paraId="29433A0E" w14:textId="77777777" w:rsidR="00CF1453" w:rsidRPr="00CF1453" w:rsidRDefault="00CF1453" w:rsidP="00CF1453">
      <w:pPr>
        <w:rPr>
          <w:color w:val="002060"/>
          <w:sz w:val="22"/>
          <w:szCs w:val="22"/>
        </w:rPr>
      </w:pPr>
    </w:p>
    <w:p w14:paraId="1316EDED" w14:textId="77777777" w:rsidR="00CF1453" w:rsidRPr="00B35E24" w:rsidRDefault="00CF1453" w:rsidP="00CF1453">
      <w:pPr>
        <w:pStyle w:val="ListParagraph"/>
        <w:numPr>
          <w:ilvl w:val="0"/>
          <w:numId w:val="2"/>
        </w:numPr>
        <w:rPr>
          <w:b/>
          <w:color w:val="0070C0"/>
        </w:rPr>
      </w:pPr>
      <w:r w:rsidRPr="00B35E24">
        <w:rPr>
          <w:b/>
          <w:color w:val="0070C0"/>
        </w:rPr>
        <w:t>What is the outlook for the recruitment and employment of apprentices? What are the drivers of employers’ decisions on this?</w:t>
      </w:r>
    </w:p>
    <w:p w14:paraId="71B25178" w14:textId="77777777" w:rsidR="00CF1453" w:rsidRPr="00CF1453" w:rsidRDefault="00CF1453" w:rsidP="00CF1453">
      <w:pPr>
        <w:pStyle w:val="ListParagraph"/>
        <w:ind w:left="360"/>
        <w:rPr>
          <w:color w:val="002060"/>
          <w:sz w:val="22"/>
          <w:szCs w:val="22"/>
        </w:rPr>
      </w:pPr>
    </w:p>
    <w:p w14:paraId="60EC6785"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The outlook for apprentice recruitment in the plumbing and heating profession is increasingly challenging.</w:t>
      </w:r>
    </w:p>
    <w:p w14:paraId="684C4E21"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 xml:space="preserve">Employers remain committed to apprenticeships, but many are now questioning whether they can recruit at previous levels. The main drivers are affordability, supervision requirements, college attendance, reduced early-year productivity and the long-term commitment required to train an apprentice over four years. </w:t>
      </w:r>
    </w:p>
    <w:p w14:paraId="525E28A5"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Recent increases in the National Minimum Wage and National Living Wage have added to these pressures. The current Apprentice Rate applies only to apprentices aged under 19, or apprentices aged 19 and over who are in the first year of their apprenticeship. After that point, age-related National Minimum Wage or National Living Wage rates apply, even though the apprentice may still be in structured training and require extensive supervision.</w:t>
      </w:r>
    </w:p>
    <w:p w14:paraId="014A27EC" w14:textId="77777777" w:rsidR="00CF1453" w:rsidRPr="00CF1453" w:rsidRDefault="00CF1453" w:rsidP="00CF1453">
      <w:pPr>
        <w:pStyle w:val="ListParagraph"/>
        <w:ind w:left="0"/>
        <w:contextualSpacing w:val="0"/>
        <w:rPr>
          <w:color w:val="002060"/>
          <w:sz w:val="22"/>
          <w:szCs w:val="22"/>
        </w:rPr>
      </w:pPr>
      <w:r w:rsidRPr="00CF1453">
        <w:rPr>
          <w:b/>
          <w:color w:val="002060"/>
          <w:sz w:val="22"/>
          <w:szCs w:val="22"/>
        </w:rPr>
        <w:t>In a safety-critical profession, supervision cannot simply be reduced to offset rising costs.</w:t>
      </w:r>
      <w:r w:rsidRPr="00CF1453">
        <w:rPr>
          <w:color w:val="002060"/>
          <w:sz w:val="22"/>
          <w:szCs w:val="22"/>
        </w:rPr>
        <w:t xml:space="preserve"> Apprentices must be properly supported to develop competence safely before working independently in people’s homes and buildings.</w:t>
      </w:r>
    </w:p>
    <w:p w14:paraId="14EA4461"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For micro and small employers, this creates significant cost pressure in years two, three and four of the apprenticeship. Employers also carry the cost of tools, insurance, administration, college attendance and the reduced productivity of qualified staff who supervise apprentices.</w:t>
      </w:r>
    </w:p>
    <w:p w14:paraId="7A4E0731" w14:textId="77777777" w:rsidR="00CF1453" w:rsidRPr="00CF1453" w:rsidRDefault="00CF1453" w:rsidP="00CF1453">
      <w:pPr>
        <w:pStyle w:val="ListParagraph"/>
        <w:ind w:left="0"/>
        <w:contextualSpacing w:val="0"/>
        <w:rPr>
          <w:color w:val="002060"/>
          <w:sz w:val="22"/>
          <w:szCs w:val="22"/>
        </w:rPr>
      </w:pPr>
      <w:r w:rsidRPr="00CF1453">
        <w:rPr>
          <w:color w:val="002060"/>
          <w:sz w:val="22"/>
          <w:szCs w:val="22"/>
        </w:rPr>
        <w:t xml:space="preserve">As a result, some employers are reducing the number of apprentices they take on, delaying recruitment or reconsidering whether they can continue to train apprentices. </w:t>
      </w:r>
      <w:proofErr w:type="gramStart"/>
      <w:r w:rsidRPr="00CF1453">
        <w:rPr>
          <w:color w:val="002060"/>
          <w:sz w:val="22"/>
          <w:szCs w:val="22"/>
        </w:rPr>
        <w:t>This risks</w:t>
      </w:r>
      <w:proofErr w:type="gramEnd"/>
      <w:r w:rsidRPr="00CF1453">
        <w:rPr>
          <w:color w:val="002060"/>
          <w:sz w:val="22"/>
          <w:szCs w:val="22"/>
        </w:rPr>
        <w:t xml:space="preserve"> weakening the future skills pipeline for plumbing, heating, water safety and low carbon technologies.</w:t>
      </w:r>
    </w:p>
    <w:p w14:paraId="12531F6B" w14:textId="77777777" w:rsidR="00CF1453" w:rsidRPr="00CF1453" w:rsidRDefault="00CF1453" w:rsidP="00CF1453">
      <w:pPr>
        <w:pStyle w:val="ListParagraph"/>
        <w:ind w:left="0"/>
        <w:contextualSpacing w:val="0"/>
        <w:rPr>
          <w:color w:val="002060"/>
          <w:sz w:val="22"/>
          <w:szCs w:val="22"/>
        </w:rPr>
      </w:pPr>
    </w:p>
    <w:p w14:paraId="1CD7B124" w14:textId="6D1462A5" w:rsidR="00CF1453" w:rsidRPr="00B35E24" w:rsidRDefault="00CF1453" w:rsidP="00CF1453">
      <w:pPr>
        <w:pStyle w:val="ListParagraph"/>
        <w:numPr>
          <w:ilvl w:val="0"/>
          <w:numId w:val="2"/>
        </w:numPr>
        <w:rPr>
          <w:b/>
          <w:color w:val="0070C0"/>
        </w:rPr>
      </w:pPr>
      <w:r w:rsidRPr="00B35E24">
        <w:rPr>
          <w:b/>
          <w:color w:val="0070C0"/>
        </w:rPr>
        <w:lastRenderedPageBreak/>
        <w:t>What do you expect the effects of the latest increase in the Apprentice Rate to be?</w:t>
      </w:r>
    </w:p>
    <w:p w14:paraId="19B378E3" w14:textId="77777777" w:rsidR="00CF1453" w:rsidRPr="00CF1453" w:rsidRDefault="00CF1453" w:rsidP="00BA0D4F">
      <w:pPr>
        <w:spacing w:after="160"/>
        <w:rPr>
          <w:color w:val="002060"/>
          <w:sz w:val="22"/>
          <w:szCs w:val="22"/>
        </w:rPr>
      </w:pPr>
      <w:r w:rsidRPr="00CF1453">
        <w:rPr>
          <w:color w:val="002060"/>
          <w:sz w:val="22"/>
          <w:szCs w:val="22"/>
        </w:rPr>
        <w:t>The latest increase in the Apprentice Rate is likely to add further pressure to apprentice recruitment, particularly for micro and small employers.</w:t>
      </w:r>
    </w:p>
    <w:p w14:paraId="153168E5" w14:textId="77777777" w:rsidR="00CF1453" w:rsidRPr="00CF1453" w:rsidRDefault="00CF1453" w:rsidP="00BA0D4F">
      <w:pPr>
        <w:spacing w:after="160"/>
        <w:rPr>
          <w:color w:val="002060"/>
          <w:sz w:val="22"/>
          <w:szCs w:val="22"/>
        </w:rPr>
      </w:pPr>
      <w:r w:rsidRPr="00CF1453">
        <w:rPr>
          <w:color w:val="002060"/>
          <w:sz w:val="22"/>
          <w:szCs w:val="22"/>
        </w:rPr>
        <w:t xml:space="preserve">The issue is not the Apprentice Rate in isolation. It is the cumulative effect of rising wage costs across a </w:t>
      </w:r>
      <w:proofErr w:type="gramStart"/>
      <w:r w:rsidRPr="00CF1453">
        <w:rPr>
          <w:color w:val="002060"/>
          <w:sz w:val="22"/>
          <w:szCs w:val="22"/>
        </w:rPr>
        <w:t>four year</w:t>
      </w:r>
      <w:proofErr w:type="gramEnd"/>
      <w:r w:rsidRPr="00CF1453">
        <w:rPr>
          <w:color w:val="002060"/>
          <w:sz w:val="22"/>
          <w:szCs w:val="22"/>
        </w:rPr>
        <w:t xml:space="preserve"> apprenticeship. In plumbing and heating, apprentices remain in structured training for four years, attend college and require extensive supervision before they can work independently.</w:t>
      </w:r>
    </w:p>
    <w:p w14:paraId="2391D729" w14:textId="77777777" w:rsidR="00CF1453" w:rsidRPr="00CF1453" w:rsidRDefault="00CF1453" w:rsidP="00BA0D4F">
      <w:pPr>
        <w:spacing w:after="160"/>
        <w:rPr>
          <w:color w:val="002060"/>
          <w:sz w:val="22"/>
          <w:szCs w:val="22"/>
        </w:rPr>
      </w:pPr>
      <w:r w:rsidRPr="00CF1453">
        <w:rPr>
          <w:color w:val="002060"/>
          <w:sz w:val="22"/>
          <w:szCs w:val="22"/>
        </w:rPr>
        <w:t>The current framework does not sufficiently recognise this. The Apprentice Rate applies only to apprentices aged under 19, or apprentices aged 19 and over who are in the first year of their apprenticeship. After that point, age-related National Minimum Wage or National Living Wage rates apply, even though the apprentice may still require close supervision and may not yet be fully productive.</w:t>
      </w:r>
    </w:p>
    <w:p w14:paraId="2CF7FBB0" w14:textId="77777777" w:rsidR="00CF1453" w:rsidRPr="00CF1453" w:rsidRDefault="00CF1453" w:rsidP="00BA0D4F">
      <w:pPr>
        <w:spacing w:after="160"/>
        <w:rPr>
          <w:color w:val="002060"/>
          <w:sz w:val="22"/>
          <w:szCs w:val="22"/>
        </w:rPr>
      </w:pPr>
      <w:r w:rsidRPr="00CF1453">
        <w:rPr>
          <w:color w:val="002060"/>
          <w:sz w:val="22"/>
          <w:szCs w:val="22"/>
        </w:rPr>
        <w:t>The likely effect is that some employers will delay apprentice recruitment, reduce the number of apprentices they take on, or decide not to recruit at all. This would reduce opportunities for young people and weaken the future skills pipeline for a safety-critical profession.</w:t>
      </w:r>
    </w:p>
    <w:p w14:paraId="407F66D4" w14:textId="77777777" w:rsidR="00CF1453" w:rsidRPr="00CF1453" w:rsidRDefault="00CF1453" w:rsidP="00BA0D4F">
      <w:pPr>
        <w:spacing w:after="160"/>
        <w:rPr>
          <w:b/>
          <w:bCs/>
          <w:color w:val="002060"/>
          <w:sz w:val="22"/>
          <w:szCs w:val="22"/>
        </w:rPr>
      </w:pPr>
      <w:r w:rsidRPr="00CF1453">
        <w:rPr>
          <w:b/>
          <w:bCs/>
          <w:color w:val="002060"/>
          <w:sz w:val="22"/>
          <w:szCs w:val="22"/>
        </w:rPr>
        <w:t>The Low Pay Commission must recognise the specific challenges of multi-year, safety-critical apprenticeships and consider a more staged wage pathway, including a transitional second year apprentice rate for apprenticeships lasting three years or more.</w:t>
      </w:r>
    </w:p>
    <w:p w14:paraId="7298AF53" w14:textId="77777777" w:rsidR="00CF1453" w:rsidRDefault="00CF1453" w:rsidP="00CF1453">
      <w:pPr>
        <w:rPr>
          <w:color w:val="002060"/>
          <w:sz w:val="22"/>
          <w:szCs w:val="22"/>
        </w:rPr>
      </w:pPr>
    </w:p>
    <w:p w14:paraId="4F836422" w14:textId="77777777" w:rsidR="004A287D" w:rsidRPr="00CF1453" w:rsidRDefault="004A287D" w:rsidP="00CF1453">
      <w:pPr>
        <w:rPr>
          <w:color w:val="002060"/>
          <w:sz w:val="22"/>
          <w:szCs w:val="22"/>
        </w:rPr>
      </w:pPr>
    </w:p>
    <w:p w14:paraId="560E9A19" w14:textId="1220968F" w:rsidR="00CF1453" w:rsidRPr="00B35E24" w:rsidRDefault="00CF1453" w:rsidP="00CF1453">
      <w:pPr>
        <w:pStyle w:val="ListParagraph"/>
        <w:numPr>
          <w:ilvl w:val="0"/>
          <w:numId w:val="2"/>
        </w:numPr>
        <w:rPr>
          <w:b/>
          <w:color w:val="0070C0"/>
        </w:rPr>
      </w:pPr>
      <w:r w:rsidRPr="00B35E24">
        <w:rPr>
          <w:b/>
          <w:color w:val="0070C0"/>
        </w:rPr>
        <w:t>What approach should we take to recommending the Apprentice Rate for April 2027?</w:t>
      </w:r>
    </w:p>
    <w:p w14:paraId="093A939E" w14:textId="77777777" w:rsidR="00CF1453" w:rsidRPr="00CF1453" w:rsidRDefault="00CF1453" w:rsidP="00BA0D4F">
      <w:pPr>
        <w:spacing w:after="160"/>
        <w:rPr>
          <w:color w:val="002060"/>
          <w:sz w:val="22"/>
          <w:szCs w:val="22"/>
        </w:rPr>
      </w:pPr>
      <w:r w:rsidRPr="00CF1453">
        <w:rPr>
          <w:color w:val="002060"/>
          <w:sz w:val="22"/>
          <w:szCs w:val="22"/>
        </w:rPr>
        <w:t>The Low Pay Commission (LPC) should recommend an Apprentice Rate for April 2027 that better reflects the structure of longer, safety-critical apprenticeships.</w:t>
      </w:r>
    </w:p>
    <w:p w14:paraId="273DC268" w14:textId="77777777" w:rsidR="00CF1453" w:rsidRPr="00CF1453" w:rsidRDefault="00CF1453" w:rsidP="00BA0D4F">
      <w:pPr>
        <w:spacing w:after="160"/>
        <w:rPr>
          <w:color w:val="002060"/>
          <w:sz w:val="22"/>
          <w:szCs w:val="22"/>
        </w:rPr>
      </w:pPr>
      <w:r w:rsidRPr="00CF1453">
        <w:rPr>
          <w:color w:val="002060"/>
          <w:sz w:val="22"/>
          <w:szCs w:val="22"/>
        </w:rPr>
        <w:t xml:space="preserve">The current Apprentice Rate does not adequately recognise apprenticeships that last three or four years and require extensive supervision, college attendance and formal assessment before the apprentice can work independently and safely. </w:t>
      </w:r>
    </w:p>
    <w:p w14:paraId="0757D77E" w14:textId="77777777" w:rsidR="00CF1453" w:rsidRPr="00CF1453" w:rsidRDefault="00CF1453" w:rsidP="00BA0D4F">
      <w:pPr>
        <w:spacing w:after="160"/>
        <w:rPr>
          <w:b/>
          <w:bCs/>
          <w:color w:val="002060"/>
          <w:sz w:val="22"/>
          <w:szCs w:val="22"/>
        </w:rPr>
      </w:pPr>
      <w:r w:rsidRPr="00CF1453">
        <w:rPr>
          <w:color w:val="002060"/>
          <w:sz w:val="22"/>
          <w:szCs w:val="22"/>
        </w:rPr>
        <w:t>In plumbing and heating, apprentices are training to carry out safety-critical work in people’s homes and building sites. This requires a robust apprenticeship model and cannot be compressed into a short-term training route.</w:t>
      </w:r>
    </w:p>
    <w:p w14:paraId="4FF2A9BB" w14:textId="77777777" w:rsidR="00CF1453" w:rsidRPr="00CF1453" w:rsidRDefault="00CF1453" w:rsidP="00BA0D4F">
      <w:pPr>
        <w:spacing w:after="160"/>
        <w:rPr>
          <w:color w:val="002060"/>
          <w:sz w:val="22"/>
          <w:szCs w:val="22"/>
        </w:rPr>
      </w:pPr>
      <w:r w:rsidRPr="00CF1453">
        <w:rPr>
          <w:color w:val="002060"/>
          <w:sz w:val="22"/>
          <w:szCs w:val="22"/>
        </w:rPr>
        <w:t>The Apprentice Rate should continue to support fair pay progression, but it should also protect the ability of employers to recruit and train apprentices. A sudden move from the first year Apprentice Rate to the standard age-related National Minimum Wage or National Living Wage can create significant cost pressure before the apprentice has reached full productivity.</w:t>
      </w:r>
    </w:p>
    <w:p w14:paraId="2B66442D" w14:textId="77777777" w:rsidR="00CF1453" w:rsidRPr="00CF1453" w:rsidRDefault="00CF1453" w:rsidP="00BA0D4F">
      <w:pPr>
        <w:pStyle w:val="ListParagraph"/>
        <w:spacing w:after="160"/>
        <w:ind w:left="0"/>
        <w:contextualSpacing w:val="0"/>
        <w:rPr>
          <w:color w:val="002060"/>
          <w:sz w:val="22"/>
          <w:szCs w:val="22"/>
        </w:rPr>
      </w:pPr>
      <w:r w:rsidRPr="00CF1453">
        <w:rPr>
          <w:color w:val="002060"/>
          <w:sz w:val="22"/>
          <w:szCs w:val="22"/>
        </w:rPr>
        <w:t xml:space="preserve">Our profession already has long-established apprentice wage rates agreed with the union. These recognise staged progression through a </w:t>
      </w:r>
      <w:proofErr w:type="gramStart"/>
      <w:r w:rsidRPr="00CF1453">
        <w:rPr>
          <w:color w:val="002060"/>
          <w:sz w:val="22"/>
          <w:szCs w:val="22"/>
        </w:rPr>
        <w:t>four year</w:t>
      </w:r>
      <w:proofErr w:type="gramEnd"/>
      <w:r w:rsidRPr="00CF1453">
        <w:rPr>
          <w:color w:val="002060"/>
          <w:sz w:val="22"/>
          <w:szCs w:val="22"/>
        </w:rPr>
        <w:t xml:space="preserve"> apprenticeship. The issue is that the statutory framework does not sufficiently recognise this established model.</w:t>
      </w:r>
    </w:p>
    <w:p w14:paraId="0D5232A4" w14:textId="77777777" w:rsidR="00CF1453" w:rsidRPr="00CF1453" w:rsidRDefault="00CF1453" w:rsidP="00BA0D4F">
      <w:pPr>
        <w:spacing w:after="160"/>
        <w:rPr>
          <w:b/>
          <w:bCs/>
          <w:color w:val="002060"/>
          <w:sz w:val="22"/>
          <w:szCs w:val="22"/>
        </w:rPr>
      </w:pPr>
      <w:r w:rsidRPr="00CF1453">
        <w:rPr>
          <w:color w:val="002060"/>
          <w:sz w:val="22"/>
          <w:szCs w:val="22"/>
        </w:rPr>
        <w:t>The LPC should therefore consider introducing a more staged apprentice wage pathway for multi-year apprenticeships.</w:t>
      </w:r>
      <w:r w:rsidRPr="00CF1453">
        <w:rPr>
          <w:b/>
          <w:bCs/>
          <w:color w:val="002060"/>
          <w:sz w:val="22"/>
          <w:szCs w:val="22"/>
        </w:rPr>
        <w:t xml:space="preserve"> This could include a transitional second year apprentice rate for apprenticeships lasting three years or more, where the apprentice remains in structured training and continues to require close supervision.</w:t>
      </w:r>
    </w:p>
    <w:p w14:paraId="256D6B36" w14:textId="77777777" w:rsidR="00CF1453" w:rsidRPr="00CF1453" w:rsidRDefault="00CF1453" w:rsidP="00BA0D4F">
      <w:pPr>
        <w:spacing w:after="160"/>
        <w:rPr>
          <w:color w:val="002060"/>
          <w:sz w:val="22"/>
          <w:szCs w:val="22"/>
        </w:rPr>
      </w:pPr>
      <w:r w:rsidRPr="00CF1453">
        <w:rPr>
          <w:color w:val="002060"/>
          <w:sz w:val="22"/>
          <w:szCs w:val="22"/>
        </w:rPr>
        <w:t>This would provide a more proportionate progression between the first year Apprentice Rate and standard age-related rates, while supporting apprenticeship recruitment, safety, competence and long-term workforce development.</w:t>
      </w:r>
    </w:p>
    <w:p w14:paraId="41E54B96" w14:textId="77777777" w:rsidR="00CF1453" w:rsidRPr="00CF1453" w:rsidRDefault="00CF1453" w:rsidP="00BA0D4F">
      <w:pPr>
        <w:spacing w:after="160"/>
        <w:rPr>
          <w:b/>
          <w:bCs/>
          <w:color w:val="002060"/>
          <w:sz w:val="22"/>
          <w:szCs w:val="22"/>
        </w:rPr>
      </w:pPr>
    </w:p>
    <w:p w14:paraId="14918207" w14:textId="37F58FDD" w:rsidR="00CF1453" w:rsidRPr="00CF1453" w:rsidRDefault="00CF1453" w:rsidP="00BA0D4F">
      <w:pPr>
        <w:spacing w:after="160"/>
        <w:rPr>
          <w:b/>
          <w:bCs/>
          <w:color w:val="002060"/>
        </w:rPr>
      </w:pPr>
      <w:r w:rsidRPr="00CF1453">
        <w:rPr>
          <w:b/>
          <w:bCs/>
          <w:color w:val="002060"/>
        </w:rPr>
        <w:lastRenderedPageBreak/>
        <w:t xml:space="preserve">Section: Shortened consultation questions for employers </w:t>
      </w:r>
    </w:p>
    <w:p w14:paraId="2D35F36D" w14:textId="77777777" w:rsidR="00CF1453" w:rsidRPr="00CF1453" w:rsidRDefault="00CF1453" w:rsidP="00BA0D4F">
      <w:pPr>
        <w:spacing w:after="160"/>
        <w:rPr>
          <w:b/>
          <w:bCs/>
          <w:color w:val="002060"/>
          <w:sz w:val="22"/>
          <w:szCs w:val="22"/>
        </w:rPr>
      </w:pPr>
      <w:r w:rsidRPr="00CF1453">
        <w:rPr>
          <w:b/>
          <w:bCs/>
          <w:color w:val="002060"/>
          <w:sz w:val="22"/>
          <w:szCs w:val="22"/>
        </w:rPr>
        <w:t xml:space="preserve">National Living Wage </w:t>
      </w:r>
    </w:p>
    <w:p w14:paraId="09C86EDF" w14:textId="77777777" w:rsidR="00CF1453" w:rsidRPr="00CF1453" w:rsidRDefault="00CF1453" w:rsidP="00BA0D4F">
      <w:pPr>
        <w:pStyle w:val="ListParagraph"/>
        <w:numPr>
          <w:ilvl w:val="0"/>
          <w:numId w:val="1"/>
        </w:numPr>
        <w:spacing w:after="160"/>
        <w:ind w:left="360"/>
        <w:contextualSpacing w:val="0"/>
        <w:rPr>
          <w:b/>
          <w:color w:val="0070C0"/>
          <w:sz w:val="22"/>
          <w:szCs w:val="22"/>
        </w:rPr>
      </w:pPr>
      <w:r w:rsidRPr="00CF1453">
        <w:rPr>
          <w:b/>
          <w:color w:val="0070C0"/>
          <w:sz w:val="22"/>
          <w:szCs w:val="22"/>
        </w:rPr>
        <w:t xml:space="preserve">Has your business been affected in any of the following areas by the most recent 4.1 per cent increase to £12.71 in April?  </w:t>
      </w:r>
    </w:p>
    <w:p w14:paraId="6952256B" w14:textId="77777777" w:rsidR="00CF1453" w:rsidRPr="00CF1453" w:rsidRDefault="00CF1453" w:rsidP="00BA0D4F">
      <w:pPr>
        <w:spacing w:after="160"/>
        <w:ind w:left="360"/>
        <w:rPr>
          <w:color w:val="0070C0"/>
          <w:sz w:val="22"/>
          <w:szCs w:val="22"/>
        </w:rPr>
      </w:pPr>
      <w:r w:rsidRPr="00CF1453">
        <w:rPr>
          <w:color w:val="0070C0"/>
          <w:sz w:val="22"/>
          <w:szCs w:val="22"/>
        </w:rPr>
        <w:t xml:space="preserve">a. Employment </w:t>
      </w:r>
    </w:p>
    <w:p w14:paraId="0F7273DC" w14:textId="77777777" w:rsidR="00CF1453" w:rsidRPr="00CF1453" w:rsidRDefault="00CF1453" w:rsidP="00BA0D4F">
      <w:pPr>
        <w:spacing w:after="160"/>
        <w:ind w:left="360"/>
        <w:rPr>
          <w:color w:val="0070C0"/>
          <w:sz w:val="22"/>
          <w:szCs w:val="22"/>
        </w:rPr>
      </w:pPr>
      <w:r w:rsidRPr="00CF1453">
        <w:rPr>
          <w:color w:val="0070C0"/>
          <w:sz w:val="22"/>
          <w:szCs w:val="22"/>
        </w:rPr>
        <w:t xml:space="preserve">b. Hours </w:t>
      </w:r>
    </w:p>
    <w:p w14:paraId="34D3674F" w14:textId="77777777" w:rsidR="00CF1453" w:rsidRPr="00CF1453" w:rsidRDefault="00CF1453" w:rsidP="00BA0D4F">
      <w:pPr>
        <w:spacing w:after="160"/>
        <w:ind w:left="360"/>
        <w:rPr>
          <w:color w:val="0070C0"/>
          <w:sz w:val="22"/>
          <w:szCs w:val="22"/>
        </w:rPr>
      </w:pPr>
      <w:r w:rsidRPr="00CF1453">
        <w:rPr>
          <w:color w:val="0070C0"/>
          <w:sz w:val="22"/>
          <w:szCs w:val="22"/>
        </w:rPr>
        <w:t xml:space="preserve">c. Earnings </w:t>
      </w:r>
    </w:p>
    <w:p w14:paraId="2D2F17DE" w14:textId="77777777" w:rsidR="00CF1453" w:rsidRPr="00CF1453" w:rsidRDefault="00CF1453" w:rsidP="00BA0D4F">
      <w:pPr>
        <w:spacing w:after="160"/>
        <w:ind w:left="360"/>
        <w:rPr>
          <w:color w:val="0070C0"/>
          <w:sz w:val="22"/>
          <w:szCs w:val="22"/>
        </w:rPr>
      </w:pPr>
      <w:r w:rsidRPr="00CF1453">
        <w:rPr>
          <w:color w:val="0070C0"/>
          <w:sz w:val="22"/>
          <w:szCs w:val="22"/>
        </w:rPr>
        <w:t xml:space="preserve">d. Profits </w:t>
      </w:r>
    </w:p>
    <w:p w14:paraId="02B37525" w14:textId="77777777" w:rsidR="00CF1453" w:rsidRPr="00CF1453" w:rsidRDefault="00CF1453" w:rsidP="00BA0D4F">
      <w:pPr>
        <w:spacing w:after="160"/>
        <w:ind w:left="360"/>
        <w:rPr>
          <w:color w:val="0070C0"/>
          <w:sz w:val="22"/>
          <w:szCs w:val="22"/>
        </w:rPr>
      </w:pPr>
      <w:r w:rsidRPr="00CF1453">
        <w:rPr>
          <w:color w:val="0070C0"/>
          <w:sz w:val="22"/>
          <w:szCs w:val="22"/>
        </w:rPr>
        <w:t xml:space="preserve">e. Prices  </w:t>
      </w:r>
    </w:p>
    <w:p w14:paraId="39A1C995" w14:textId="77777777" w:rsidR="00CF1453" w:rsidRPr="00CF1453" w:rsidRDefault="00CF1453" w:rsidP="00BA0D4F">
      <w:pPr>
        <w:spacing w:after="160"/>
        <w:ind w:left="360"/>
        <w:rPr>
          <w:color w:val="0070C0"/>
          <w:sz w:val="22"/>
          <w:szCs w:val="22"/>
        </w:rPr>
      </w:pPr>
      <w:r w:rsidRPr="00CF1453">
        <w:rPr>
          <w:color w:val="0070C0"/>
          <w:sz w:val="22"/>
          <w:szCs w:val="22"/>
        </w:rPr>
        <w:t xml:space="preserve">f. Investment and productivity </w:t>
      </w:r>
    </w:p>
    <w:p w14:paraId="0EBF3B5E" w14:textId="77777777" w:rsidR="00CF1453" w:rsidRPr="00CF1453" w:rsidRDefault="00CF1453" w:rsidP="00BA0D4F">
      <w:pPr>
        <w:spacing w:after="160"/>
        <w:ind w:left="360"/>
        <w:rPr>
          <w:color w:val="0070C0"/>
          <w:sz w:val="22"/>
          <w:szCs w:val="22"/>
        </w:rPr>
      </w:pPr>
      <w:r w:rsidRPr="00CF1453">
        <w:rPr>
          <w:color w:val="0070C0"/>
          <w:sz w:val="22"/>
          <w:szCs w:val="22"/>
        </w:rPr>
        <w:t xml:space="preserve">g. Pay structures and differentials </w:t>
      </w:r>
    </w:p>
    <w:p w14:paraId="59552E48" w14:textId="77777777" w:rsidR="00CF1453" w:rsidRPr="00CF1453" w:rsidRDefault="00CF1453" w:rsidP="00BA0D4F">
      <w:pPr>
        <w:spacing w:after="160"/>
        <w:ind w:left="360"/>
        <w:rPr>
          <w:color w:val="0070C0"/>
          <w:sz w:val="22"/>
          <w:szCs w:val="22"/>
        </w:rPr>
      </w:pPr>
      <w:r w:rsidRPr="00CF1453">
        <w:rPr>
          <w:color w:val="0070C0"/>
          <w:sz w:val="22"/>
          <w:szCs w:val="22"/>
        </w:rPr>
        <w:t>h. Other.</w:t>
      </w:r>
    </w:p>
    <w:p w14:paraId="33DD75A5" w14:textId="77777777" w:rsidR="00CF1453" w:rsidRPr="00CF1453" w:rsidRDefault="00CF1453" w:rsidP="00BA0D4F">
      <w:pPr>
        <w:spacing w:after="160"/>
        <w:rPr>
          <w:color w:val="002060"/>
          <w:sz w:val="22"/>
          <w:szCs w:val="22"/>
        </w:rPr>
      </w:pPr>
      <w:r w:rsidRPr="00CF1453">
        <w:rPr>
          <w:color w:val="002060"/>
          <w:sz w:val="22"/>
          <w:szCs w:val="22"/>
        </w:rPr>
        <w:t>The most recent increase in the National Living Wage has affected my business mainly through employment costs, pay structures, profitability and future recruitment decisions.</w:t>
      </w:r>
    </w:p>
    <w:p w14:paraId="51F70D96" w14:textId="77777777" w:rsidR="00CF1453" w:rsidRPr="00CF1453" w:rsidRDefault="00CF1453" w:rsidP="00BA0D4F">
      <w:pPr>
        <w:spacing w:after="160"/>
        <w:rPr>
          <w:color w:val="002060"/>
          <w:sz w:val="22"/>
          <w:szCs w:val="22"/>
        </w:rPr>
      </w:pPr>
      <w:r w:rsidRPr="00CF1453">
        <w:rPr>
          <w:color w:val="002060"/>
          <w:sz w:val="22"/>
          <w:szCs w:val="22"/>
        </w:rPr>
        <w:t xml:space="preserve">Qualified plumbing and heating professionals are paid well above National Living Wage rates. However, increases to the NLW and wider National Minimum Wage framework still affect the profession because they increase wage expectations, narrow pay differentials and raise the cost of employing apprentices as they progress through a </w:t>
      </w:r>
      <w:proofErr w:type="gramStart"/>
      <w:r w:rsidRPr="00CF1453">
        <w:rPr>
          <w:color w:val="002060"/>
          <w:sz w:val="22"/>
          <w:szCs w:val="22"/>
        </w:rPr>
        <w:t>four year</w:t>
      </w:r>
      <w:proofErr w:type="gramEnd"/>
      <w:r w:rsidRPr="00CF1453">
        <w:rPr>
          <w:color w:val="002060"/>
          <w:sz w:val="22"/>
          <w:szCs w:val="22"/>
        </w:rPr>
        <w:t xml:space="preserve"> apprenticeship.</w:t>
      </w:r>
    </w:p>
    <w:p w14:paraId="0DD11ABF" w14:textId="77777777" w:rsidR="00CF1453" w:rsidRPr="00CF1453" w:rsidRDefault="00CF1453" w:rsidP="00BA0D4F">
      <w:pPr>
        <w:spacing w:after="160"/>
        <w:rPr>
          <w:color w:val="002060"/>
          <w:sz w:val="22"/>
          <w:szCs w:val="22"/>
        </w:rPr>
      </w:pPr>
      <w:r w:rsidRPr="00CF1453">
        <w:rPr>
          <w:color w:val="002060"/>
          <w:sz w:val="22"/>
          <w:szCs w:val="22"/>
        </w:rPr>
        <w:t>The main concern is the impact on apprentice recruitment. In plumbing and heating, apprentices remain in structured employed training for four years, attend college and require extensive supervision before they can work independently. They are not fully productive in the early stages, but employers still carry the cost of wages, tools, young person’s insurance, administration, college attendance and supervision by qualified staff.</w:t>
      </w:r>
    </w:p>
    <w:p w14:paraId="29FBD067" w14:textId="77777777" w:rsidR="00CF1453" w:rsidRPr="00CF1453" w:rsidRDefault="00CF1453" w:rsidP="00BA0D4F">
      <w:pPr>
        <w:spacing w:after="160"/>
        <w:rPr>
          <w:color w:val="002060"/>
          <w:sz w:val="22"/>
          <w:szCs w:val="22"/>
        </w:rPr>
      </w:pPr>
      <w:r w:rsidRPr="00CF1453">
        <w:rPr>
          <w:color w:val="002060"/>
          <w:sz w:val="22"/>
          <w:szCs w:val="22"/>
        </w:rPr>
        <w:t>For micro and small employers, these rising costs can affect decisions about whether to recruit an apprentice, how many apprentices to take on and whether recruitment can be sustained in future years.</w:t>
      </w:r>
    </w:p>
    <w:p w14:paraId="3C76D00B" w14:textId="77777777" w:rsidR="00CF1453" w:rsidRPr="00CF1453" w:rsidRDefault="00CF1453" w:rsidP="00BA0D4F">
      <w:pPr>
        <w:spacing w:after="160"/>
        <w:rPr>
          <w:color w:val="002060"/>
          <w:sz w:val="22"/>
          <w:szCs w:val="22"/>
        </w:rPr>
      </w:pPr>
      <w:r w:rsidRPr="00CF1453">
        <w:rPr>
          <w:color w:val="002060"/>
          <w:sz w:val="22"/>
          <w:szCs w:val="22"/>
        </w:rPr>
        <w:t>In my business, the impact has been felt through (</w:t>
      </w:r>
      <w:r w:rsidRPr="00CF1453">
        <w:rPr>
          <w:i/>
          <w:iCs/>
          <w:color w:val="002060"/>
          <w:sz w:val="22"/>
          <w:szCs w:val="22"/>
        </w:rPr>
        <w:t>select some or all</w:t>
      </w:r>
      <w:r w:rsidRPr="00CF1453">
        <w:rPr>
          <w:color w:val="002060"/>
          <w:sz w:val="22"/>
          <w:szCs w:val="22"/>
        </w:rPr>
        <w:t>):</w:t>
      </w:r>
    </w:p>
    <w:p w14:paraId="3517FA8E" w14:textId="77777777" w:rsidR="00CF1453" w:rsidRPr="00CF1453" w:rsidRDefault="00CF1453" w:rsidP="00CF1453">
      <w:pPr>
        <w:pStyle w:val="ListParagraph"/>
        <w:numPr>
          <w:ilvl w:val="0"/>
          <w:numId w:val="4"/>
        </w:numPr>
        <w:rPr>
          <w:color w:val="002060"/>
          <w:sz w:val="22"/>
          <w:szCs w:val="22"/>
        </w:rPr>
      </w:pPr>
      <w:r w:rsidRPr="00CF1453">
        <w:rPr>
          <w:color w:val="002060"/>
          <w:sz w:val="22"/>
          <w:szCs w:val="22"/>
        </w:rPr>
        <w:t xml:space="preserve">higher employment costs </w:t>
      </w:r>
    </w:p>
    <w:p w14:paraId="73F3FB24" w14:textId="77777777" w:rsidR="00CF1453" w:rsidRPr="00CF1453" w:rsidRDefault="00CF1453" w:rsidP="00CF1453">
      <w:pPr>
        <w:pStyle w:val="ListParagraph"/>
        <w:numPr>
          <w:ilvl w:val="0"/>
          <w:numId w:val="4"/>
        </w:numPr>
        <w:rPr>
          <w:color w:val="002060"/>
          <w:sz w:val="22"/>
          <w:szCs w:val="22"/>
        </w:rPr>
      </w:pPr>
      <w:r w:rsidRPr="00CF1453">
        <w:rPr>
          <w:color w:val="002060"/>
          <w:sz w:val="22"/>
          <w:szCs w:val="22"/>
        </w:rPr>
        <w:t xml:space="preserve">reduced margins </w:t>
      </w:r>
    </w:p>
    <w:p w14:paraId="71F680F2" w14:textId="77777777" w:rsidR="00CF1453" w:rsidRPr="00CF1453" w:rsidRDefault="00CF1453" w:rsidP="00CF1453">
      <w:pPr>
        <w:pStyle w:val="ListParagraph"/>
        <w:numPr>
          <w:ilvl w:val="0"/>
          <w:numId w:val="4"/>
        </w:numPr>
        <w:rPr>
          <w:color w:val="002060"/>
          <w:sz w:val="22"/>
          <w:szCs w:val="22"/>
        </w:rPr>
      </w:pPr>
      <w:r w:rsidRPr="00CF1453">
        <w:rPr>
          <w:color w:val="002060"/>
          <w:sz w:val="22"/>
          <w:szCs w:val="22"/>
        </w:rPr>
        <w:t xml:space="preserve">pressure on prices </w:t>
      </w:r>
    </w:p>
    <w:p w14:paraId="18BDC146" w14:textId="77777777" w:rsidR="00CF1453" w:rsidRPr="00CF1453" w:rsidRDefault="00CF1453" w:rsidP="00CF1453">
      <w:pPr>
        <w:pStyle w:val="ListParagraph"/>
        <w:numPr>
          <w:ilvl w:val="0"/>
          <w:numId w:val="4"/>
        </w:numPr>
        <w:rPr>
          <w:color w:val="002060"/>
          <w:sz w:val="22"/>
          <w:szCs w:val="22"/>
        </w:rPr>
      </w:pPr>
      <w:r w:rsidRPr="00CF1453">
        <w:rPr>
          <w:color w:val="002060"/>
          <w:sz w:val="22"/>
          <w:szCs w:val="22"/>
        </w:rPr>
        <w:t xml:space="preserve">reconsidering apprentice recruitment </w:t>
      </w:r>
    </w:p>
    <w:p w14:paraId="42AC498F" w14:textId="77777777" w:rsidR="00CF1453" w:rsidRPr="00CF1453" w:rsidRDefault="00CF1453" w:rsidP="00CF1453">
      <w:pPr>
        <w:pStyle w:val="ListParagraph"/>
        <w:numPr>
          <w:ilvl w:val="0"/>
          <w:numId w:val="4"/>
        </w:numPr>
        <w:rPr>
          <w:color w:val="002060"/>
          <w:sz w:val="22"/>
          <w:szCs w:val="22"/>
        </w:rPr>
      </w:pPr>
      <w:r w:rsidRPr="00CF1453">
        <w:rPr>
          <w:color w:val="002060"/>
          <w:sz w:val="22"/>
          <w:szCs w:val="22"/>
        </w:rPr>
        <w:t xml:space="preserve">delaying investment  </w:t>
      </w:r>
    </w:p>
    <w:p w14:paraId="149B4C37" w14:textId="207DAC8C" w:rsidR="00CF1453" w:rsidRPr="00CF1453" w:rsidRDefault="00CF1453" w:rsidP="00CF1453">
      <w:pPr>
        <w:pStyle w:val="ListParagraph"/>
        <w:numPr>
          <w:ilvl w:val="0"/>
          <w:numId w:val="4"/>
        </w:numPr>
        <w:rPr>
          <w:color w:val="002060"/>
          <w:sz w:val="22"/>
          <w:szCs w:val="22"/>
        </w:rPr>
      </w:pPr>
      <w:r w:rsidRPr="00CF1453">
        <w:rPr>
          <w:color w:val="002060"/>
          <w:sz w:val="22"/>
          <w:szCs w:val="22"/>
        </w:rPr>
        <w:t>reviewing pay differentials,</w:t>
      </w:r>
    </w:p>
    <w:p w14:paraId="4D5E3093" w14:textId="77777777" w:rsidR="00D87603" w:rsidRDefault="00D87603" w:rsidP="00D87603">
      <w:pPr>
        <w:rPr>
          <w:b/>
          <w:bCs/>
          <w:color w:val="002060"/>
          <w:sz w:val="22"/>
          <w:szCs w:val="22"/>
        </w:rPr>
      </w:pPr>
    </w:p>
    <w:p w14:paraId="24C79AF2" w14:textId="1037F27C" w:rsidR="00CF1453" w:rsidRPr="00CF1453" w:rsidRDefault="00CF1453" w:rsidP="00D87603">
      <w:pPr>
        <w:spacing w:after="240"/>
        <w:rPr>
          <w:b/>
          <w:bCs/>
          <w:color w:val="002060"/>
          <w:sz w:val="22"/>
          <w:szCs w:val="22"/>
        </w:rPr>
      </w:pPr>
      <w:r w:rsidRPr="00CF1453">
        <w:rPr>
          <w:b/>
          <w:bCs/>
          <w:color w:val="002060"/>
          <w:sz w:val="22"/>
          <w:szCs w:val="22"/>
        </w:rPr>
        <w:t xml:space="preserve">Young workers and apprentices </w:t>
      </w:r>
    </w:p>
    <w:p w14:paraId="188FFBE6" w14:textId="77777777" w:rsidR="00CF1453" w:rsidRPr="00B35E24" w:rsidRDefault="00CF1453" w:rsidP="00CF1453">
      <w:pPr>
        <w:pStyle w:val="ListParagraph"/>
        <w:numPr>
          <w:ilvl w:val="0"/>
          <w:numId w:val="1"/>
        </w:numPr>
        <w:spacing w:after="120"/>
        <w:ind w:left="426" w:hanging="426"/>
        <w:contextualSpacing w:val="0"/>
        <w:rPr>
          <w:b/>
          <w:color w:val="0070C0"/>
        </w:rPr>
      </w:pPr>
      <w:r w:rsidRPr="00B35E24">
        <w:rPr>
          <w:b/>
          <w:color w:val="0070C0"/>
        </w:rPr>
        <w:t xml:space="preserve">How has the pay and employment of workers aged under 21 changed in your business in the past year? </w:t>
      </w:r>
    </w:p>
    <w:p w14:paraId="66BF730E"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In my business, the pay costs associated with employing workers aged under 21 have increased, particularly where young people are recruited as apprentices.</w:t>
      </w:r>
    </w:p>
    <w:p w14:paraId="59ADCB62"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 xml:space="preserve">The main route into the plumbing and heating profession for young people is a </w:t>
      </w:r>
      <w:proofErr w:type="gramStart"/>
      <w:r w:rsidRPr="00CF1453">
        <w:rPr>
          <w:color w:val="002060"/>
          <w:sz w:val="22"/>
          <w:szCs w:val="22"/>
        </w:rPr>
        <w:t>four year</w:t>
      </w:r>
      <w:proofErr w:type="gramEnd"/>
      <w:r w:rsidRPr="00CF1453">
        <w:rPr>
          <w:color w:val="002060"/>
          <w:sz w:val="22"/>
          <w:szCs w:val="22"/>
        </w:rPr>
        <w:t xml:space="preserve"> apprenticeship. Apprentices are employed full time, attend college, receive workplace training </w:t>
      </w:r>
      <w:r w:rsidRPr="00CF1453">
        <w:rPr>
          <w:color w:val="002060"/>
          <w:sz w:val="22"/>
          <w:szCs w:val="22"/>
        </w:rPr>
        <w:lastRenderedPageBreak/>
        <w:t>and require extensive supervision before they can work independently and safely. This is essential in a safety-critical profession where work is carried out in people’s homes and building sites.</w:t>
      </w:r>
    </w:p>
    <w:p w14:paraId="7B604CA2" w14:textId="77777777" w:rsidR="00CF1453" w:rsidRPr="00CF1453" w:rsidRDefault="00CF1453" w:rsidP="00CF1453">
      <w:pPr>
        <w:pStyle w:val="ListParagraph"/>
        <w:spacing w:after="120"/>
        <w:ind w:left="0"/>
        <w:contextualSpacing w:val="0"/>
        <w:rPr>
          <w:b/>
          <w:color w:val="002060"/>
          <w:sz w:val="22"/>
          <w:szCs w:val="22"/>
        </w:rPr>
      </w:pPr>
      <w:r w:rsidRPr="00CF1453">
        <w:rPr>
          <w:b/>
          <w:color w:val="002060"/>
          <w:sz w:val="22"/>
          <w:szCs w:val="22"/>
        </w:rPr>
        <w:t xml:space="preserve">The current minimum wage framework does not sufficiently recognise a </w:t>
      </w:r>
      <w:proofErr w:type="gramStart"/>
      <w:r w:rsidRPr="00CF1453">
        <w:rPr>
          <w:b/>
          <w:color w:val="002060"/>
          <w:sz w:val="22"/>
          <w:szCs w:val="22"/>
        </w:rPr>
        <w:t>four year</w:t>
      </w:r>
      <w:proofErr w:type="gramEnd"/>
      <w:r w:rsidRPr="00CF1453">
        <w:rPr>
          <w:b/>
          <w:color w:val="002060"/>
          <w:sz w:val="22"/>
          <w:szCs w:val="22"/>
        </w:rPr>
        <w:t xml:space="preserve"> safety critical apprenticeship. </w:t>
      </w:r>
    </w:p>
    <w:p w14:paraId="3868E17B"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The Apprentice Rate applies only to apprentices aged under 19, or apprentices aged 19 and over who are in the first year of their apprenticeship. Apprentices aged 19 and over who have completed their first year must be paid at least the National Minimum Wage or National Living Wage rate for their age, even though they remain in structured training and continue to require extensive supervision.</w:t>
      </w:r>
    </w:p>
    <w:p w14:paraId="2A9F04A0" w14:textId="77777777" w:rsidR="00CF1453" w:rsidRPr="00CF1453" w:rsidRDefault="00CF1453" w:rsidP="00CF1453">
      <w:pPr>
        <w:pStyle w:val="ListParagraph"/>
        <w:spacing w:after="120"/>
        <w:ind w:left="0"/>
        <w:contextualSpacing w:val="0"/>
        <w:rPr>
          <w:b/>
          <w:color w:val="002060"/>
          <w:sz w:val="22"/>
          <w:szCs w:val="22"/>
        </w:rPr>
      </w:pPr>
      <w:r w:rsidRPr="00CF1453">
        <w:rPr>
          <w:b/>
          <w:color w:val="002060"/>
          <w:sz w:val="22"/>
          <w:szCs w:val="22"/>
        </w:rPr>
        <w:t>This has affected decisions about employing young people. In my business, this has meant (select some or all):</w:t>
      </w:r>
    </w:p>
    <w:p w14:paraId="318138E8" w14:textId="77777777" w:rsidR="00CF1453" w:rsidRPr="00CF1453" w:rsidRDefault="00CF1453" w:rsidP="00CF1453">
      <w:pPr>
        <w:pStyle w:val="ListParagraph"/>
        <w:numPr>
          <w:ilvl w:val="0"/>
          <w:numId w:val="5"/>
        </w:numPr>
        <w:spacing w:after="120"/>
        <w:contextualSpacing w:val="0"/>
        <w:rPr>
          <w:color w:val="002060"/>
          <w:sz w:val="22"/>
          <w:szCs w:val="22"/>
        </w:rPr>
      </w:pPr>
      <w:r w:rsidRPr="00CF1453">
        <w:rPr>
          <w:color w:val="002060"/>
          <w:sz w:val="22"/>
          <w:szCs w:val="22"/>
        </w:rPr>
        <w:t xml:space="preserve">not recruiting an apprentice this year </w:t>
      </w:r>
    </w:p>
    <w:p w14:paraId="4570DA66" w14:textId="77777777" w:rsidR="00CF1453" w:rsidRPr="00CF1453" w:rsidRDefault="00CF1453" w:rsidP="00CF1453">
      <w:pPr>
        <w:pStyle w:val="ListParagraph"/>
        <w:numPr>
          <w:ilvl w:val="0"/>
          <w:numId w:val="5"/>
        </w:numPr>
        <w:spacing w:after="120"/>
        <w:contextualSpacing w:val="0"/>
        <w:rPr>
          <w:color w:val="002060"/>
          <w:sz w:val="22"/>
          <w:szCs w:val="22"/>
        </w:rPr>
      </w:pPr>
      <w:r w:rsidRPr="00CF1453">
        <w:rPr>
          <w:color w:val="002060"/>
          <w:sz w:val="22"/>
          <w:szCs w:val="22"/>
        </w:rPr>
        <w:t xml:space="preserve">recruiting fewer apprentices </w:t>
      </w:r>
    </w:p>
    <w:p w14:paraId="157744C9" w14:textId="77777777" w:rsidR="00CF1453" w:rsidRPr="00CF1453" w:rsidRDefault="00CF1453" w:rsidP="00CF1453">
      <w:pPr>
        <w:pStyle w:val="ListParagraph"/>
        <w:numPr>
          <w:ilvl w:val="0"/>
          <w:numId w:val="5"/>
        </w:numPr>
        <w:spacing w:after="120"/>
        <w:contextualSpacing w:val="0"/>
        <w:rPr>
          <w:color w:val="002060"/>
          <w:sz w:val="22"/>
          <w:szCs w:val="22"/>
        </w:rPr>
      </w:pPr>
      <w:r w:rsidRPr="00CF1453">
        <w:rPr>
          <w:color w:val="002060"/>
          <w:sz w:val="22"/>
          <w:szCs w:val="22"/>
        </w:rPr>
        <w:t xml:space="preserve">delaying recruitment </w:t>
      </w:r>
    </w:p>
    <w:p w14:paraId="1B96A2AC" w14:textId="77777777" w:rsidR="00CF1453" w:rsidRPr="00CF1453" w:rsidRDefault="00CF1453" w:rsidP="00CF1453">
      <w:pPr>
        <w:pStyle w:val="ListParagraph"/>
        <w:numPr>
          <w:ilvl w:val="0"/>
          <w:numId w:val="5"/>
        </w:numPr>
        <w:spacing w:after="120"/>
        <w:contextualSpacing w:val="0"/>
        <w:rPr>
          <w:color w:val="002060"/>
          <w:sz w:val="22"/>
          <w:szCs w:val="22"/>
        </w:rPr>
      </w:pPr>
      <w:r w:rsidRPr="00CF1453">
        <w:rPr>
          <w:color w:val="002060"/>
          <w:sz w:val="22"/>
          <w:szCs w:val="22"/>
        </w:rPr>
        <w:t>reconsidering future apprentice recruitment.</w:t>
      </w:r>
    </w:p>
    <w:p w14:paraId="7CEB572E"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The issue is not a lack of interest from young people. There remains strong interest in entering the profession. The issue is that the cost and risk of employing and training a young apprentice over four years has become harder for small employers to sustain. Once qualified, plumbing and heating professionals can earn well above National Living Wage rates, but employers need a wage framework that supports young people to reach that point.</w:t>
      </w:r>
    </w:p>
    <w:p w14:paraId="6B7C707A" w14:textId="77777777" w:rsidR="00CF1453" w:rsidRPr="00CF1453" w:rsidRDefault="00CF1453" w:rsidP="00CF1453">
      <w:pPr>
        <w:pStyle w:val="ListParagraph"/>
        <w:spacing w:after="120"/>
        <w:ind w:left="0"/>
        <w:contextualSpacing w:val="0"/>
        <w:rPr>
          <w:color w:val="002060"/>
          <w:sz w:val="22"/>
          <w:szCs w:val="22"/>
        </w:rPr>
      </w:pPr>
    </w:p>
    <w:p w14:paraId="1203F1E0" w14:textId="03240307" w:rsidR="00CF1453" w:rsidRPr="00B35E24" w:rsidRDefault="00CF1453" w:rsidP="00CF1453">
      <w:pPr>
        <w:pStyle w:val="ListParagraph"/>
        <w:numPr>
          <w:ilvl w:val="0"/>
          <w:numId w:val="1"/>
        </w:numPr>
        <w:spacing w:after="120"/>
        <w:ind w:left="426" w:hanging="426"/>
        <w:contextualSpacing w:val="0"/>
        <w:rPr>
          <w:b/>
          <w:color w:val="0070C0"/>
        </w:rPr>
      </w:pPr>
      <w:r w:rsidRPr="00B35E24">
        <w:rPr>
          <w:b/>
          <w:color w:val="0070C0"/>
        </w:rPr>
        <w:t xml:space="preserve">The Government remains committed to aligning the </w:t>
      </w:r>
      <w:proofErr w:type="gramStart"/>
      <w:r w:rsidRPr="00B35E24">
        <w:rPr>
          <w:b/>
          <w:color w:val="0070C0"/>
        </w:rPr>
        <w:t>18-20 Year Old</w:t>
      </w:r>
      <w:proofErr w:type="gramEnd"/>
      <w:r w:rsidRPr="00B35E24">
        <w:rPr>
          <w:b/>
          <w:color w:val="0070C0"/>
        </w:rPr>
        <w:t xml:space="preserve"> Rate with the National Living Wage, although the LPC’s remit gives us full flexibility over when this happens and asks us to give priority to young workers’ employment prospects. How would your business respond to the alignment of the </w:t>
      </w:r>
      <w:proofErr w:type="gramStart"/>
      <w:r w:rsidRPr="00B35E24">
        <w:rPr>
          <w:b/>
          <w:color w:val="0070C0"/>
        </w:rPr>
        <w:t>18-20 Year Old</w:t>
      </w:r>
      <w:proofErr w:type="gramEnd"/>
      <w:r w:rsidRPr="00B35E24">
        <w:rPr>
          <w:b/>
          <w:color w:val="0070C0"/>
        </w:rPr>
        <w:t xml:space="preserve"> Rate with the NLW? </w:t>
      </w:r>
    </w:p>
    <w:p w14:paraId="703D897B" w14:textId="43B1AB43"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 xml:space="preserve">If the </w:t>
      </w:r>
      <w:proofErr w:type="gramStart"/>
      <w:r w:rsidRPr="00CF1453">
        <w:rPr>
          <w:color w:val="002060"/>
          <w:sz w:val="22"/>
          <w:szCs w:val="22"/>
        </w:rPr>
        <w:t>18 to 20 Year Old</w:t>
      </w:r>
      <w:proofErr w:type="gramEnd"/>
      <w:r w:rsidRPr="00CF1453">
        <w:rPr>
          <w:color w:val="002060"/>
          <w:sz w:val="22"/>
          <w:szCs w:val="22"/>
        </w:rPr>
        <w:t xml:space="preserve"> Rate is aligned with the National Living Wage without reforming the Apprentice Rate structure, my business would have to reconsider future apprentice recruitment.</w:t>
      </w:r>
    </w:p>
    <w:p w14:paraId="03D020B5"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The concern is not the pay of qualified workers. Qualified plumbing and heating professionals are generally paid well above National Living Wage rates. The issue is the cost of employing apprentices for four years who are still in training, still attending college and still requiring extensive supervision.</w:t>
      </w:r>
    </w:p>
    <w:p w14:paraId="62837E51" w14:textId="77777777" w:rsidR="00CF1453" w:rsidRPr="00CF1453" w:rsidRDefault="00CF1453" w:rsidP="00CF1453">
      <w:pPr>
        <w:pStyle w:val="ListParagraph"/>
        <w:spacing w:after="120"/>
        <w:ind w:left="0"/>
        <w:contextualSpacing w:val="0"/>
        <w:rPr>
          <w:b/>
          <w:color w:val="002060"/>
          <w:sz w:val="22"/>
          <w:szCs w:val="22"/>
        </w:rPr>
      </w:pPr>
      <w:r w:rsidRPr="00CF1453">
        <w:rPr>
          <w:b/>
          <w:color w:val="002060"/>
          <w:sz w:val="22"/>
          <w:szCs w:val="22"/>
        </w:rPr>
        <w:t>A plumbing and heating apprenticeship lasts four years</w:t>
      </w:r>
      <w:r w:rsidRPr="00CF1453">
        <w:rPr>
          <w:color w:val="002060"/>
          <w:sz w:val="22"/>
          <w:szCs w:val="22"/>
        </w:rPr>
        <w:t xml:space="preserve">. If </w:t>
      </w:r>
      <w:proofErr w:type="gramStart"/>
      <w:r w:rsidRPr="00CF1453">
        <w:rPr>
          <w:color w:val="002060"/>
          <w:sz w:val="22"/>
          <w:szCs w:val="22"/>
        </w:rPr>
        <w:t>18 to 20 year old</w:t>
      </w:r>
      <w:proofErr w:type="gramEnd"/>
      <w:r w:rsidRPr="00CF1453">
        <w:rPr>
          <w:color w:val="002060"/>
          <w:sz w:val="22"/>
          <w:szCs w:val="22"/>
        </w:rPr>
        <w:t xml:space="preserve"> apprentices move more quickly onto the National Living Wage while still in structured training, the cost to employers in years two, three and four will increase significantly. For small employers, this could mean recruiting fewer apprentices, delaying recruitment or deciding not to recruit an apprentice at all.</w:t>
      </w:r>
    </w:p>
    <w:p w14:paraId="6991DCF7" w14:textId="77777777" w:rsidR="00CF1453" w:rsidRPr="00CF1453" w:rsidRDefault="00CF1453" w:rsidP="00CF1453">
      <w:pPr>
        <w:pStyle w:val="ListParagraph"/>
        <w:spacing w:after="120"/>
        <w:ind w:left="0"/>
        <w:contextualSpacing w:val="0"/>
        <w:rPr>
          <w:b/>
          <w:color w:val="002060"/>
          <w:sz w:val="22"/>
          <w:szCs w:val="22"/>
        </w:rPr>
      </w:pPr>
      <w:r w:rsidRPr="00CF1453">
        <w:rPr>
          <w:b/>
          <w:color w:val="002060"/>
          <w:sz w:val="22"/>
          <w:szCs w:val="22"/>
        </w:rPr>
        <w:t xml:space="preserve">The LPC should give priority to young workers’ employment prospects. </w:t>
      </w:r>
    </w:p>
    <w:p w14:paraId="1BD6CD05"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In this profession, that means protecting the apprenticeship route into work. A more balanced approach would be to introduce a staged wage pathway for longer apprenticeships, including consideration of a transitional second year apprentice rate for apprenticeships lasting three years or more.</w:t>
      </w:r>
    </w:p>
    <w:p w14:paraId="1A83F1C4"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lastRenderedPageBreak/>
        <w:t xml:space="preserve">This would maintain fair pay progression while recognising the continued training, supervision and reduced productivity involved in a </w:t>
      </w:r>
      <w:proofErr w:type="gramStart"/>
      <w:r w:rsidRPr="00CF1453">
        <w:rPr>
          <w:color w:val="002060"/>
          <w:sz w:val="22"/>
          <w:szCs w:val="22"/>
        </w:rPr>
        <w:t>four year</w:t>
      </w:r>
      <w:proofErr w:type="gramEnd"/>
      <w:r w:rsidRPr="00CF1453">
        <w:rPr>
          <w:color w:val="002060"/>
          <w:sz w:val="22"/>
          <w:szCs w:val="22"/>
        </w:rPr>
        <w:t>, safety-critical apprenticeship.</w:t>
      </w:r>
    </w:p>
    <w:p w14:paraId="52DEA17A" w14:textId="77777777" w:rsidR="00CF1453" w:rsidRPr="00CF1453" w:rsidRDefault="00CF1453" w:rsidP="00CF1453">
      <w:pPr>
        <w:pStyle w:val="ListParagraph"/>
        <w:spacing w:after="120"/>
        <w:ind w:left="0"/>
        <w:contextualSpacing w:val="0"/>
        <w:rPr>
          <w:color w:val="002060"/>
          <w:sz w:val="22"/>
          <w:szCs w:val="22"/>
        </w:rPr>
      </w:pPr>
    </w:p>
    <w:p w14:paraId="1E9198B1" w14:textId="77777777" w:rsidR="00CF1453" w:rsidRPr="00B35E24" w:rsidRDefault="00CF1453" w:rsidP="00CF1453">
      <w:pPr>
        <w:pStyle w:val="ListParagraph"/>
        <w:numPr>
          <w:ilvl w:val="0"/>
          <w:numId w:val="1"/>
        </w:numPr>
        <w:spacing w:after="120"/>
        <w:ind w:left="426" w:hanging="426"/>
        <w:contextualSpacing w:val="0"/>
        <w:rPr>
          <w:b/>
          <w:color w:val="0070C0"/>
        </w:rPr>
      </w:pPr>
      <w:r w:rsidRPr="00B35E24">
        <w:rPr>
          <w:b/>
          <w:color w:val="0070C0"/>
        </w:rPr>
        <w:t>How has the pay and employment of apprentices changed in your business in the past year?</w:t>
      </w:r>
    </w:p>
    <w:p w14:paraId="529B7FCA" w14:textId="77777777" w:rsidR="00CF1453" w:rsidRPr="00CF1453" w:rsidRDefault="00CF1453" w:rsidP="00CF1453">
      <w:pPr>
        <w:spacing w:after="120"/>
        <w:rPr>
          <w:color w:val="002060"/>
          <w:sz w:val="22"/>
          <w:szCs w:val="22"/>
        </w:rPr>
      </w:pPr>
      <w:r w:rsidRPr="00CF1453">
        <w:rPr>
          <w:color w:val="002060"/>
          <w:sz w:val="22"/>
          <w:szCs w:val="22"/>
        </w:rPr>
        <w:t xml:space="preserve">In my business, the cost of employing apprentices has increased over the past year. As a result, I have (choose one): </w:t>
      </w:r>
    </w:p>
    <w:p w14:paraId="328238C8" w14:textId="77777777" w:rsidR="00CF1453" w:rsidRPr="00CF1453" w:rsidRDefault="00CF1453" w:rsidP="00CF1453">
      <w:pPr>
        <w:pStyle w:val="ListParagraph"/>
        <w:numPr>
          <w:ilvl w:val="0"/>
          <w:numId w:val="6"/>
        </w:numPr>
        <w:spacing w:after="120"/>
        <w:rPr>
          <w:color w:val="002060"/>
          <w:sz w:val="22"/>
          <w:szCs w:val="22"/>
        </w:rPr>
      </w:pPr>
      <w:r w:rsidRPr="00CF1453">
        <w:rPr>
          <w:color w:val="002060"/>
          <w:sz w:val="22"/>
          <w:szCs w:val="22"/>
        </w:rPr>
        <w:t xml:space="preserve">not been able to recruit an apprentice </w:t>
      </w:r>
    </w:p>
    <w:p w14:paraId="48C926AC" w14:textId="77777777" w:rsidR="00CF1453" w:rsidRPr="00CF1453" w:rsidRDefault="00CF1453" w:rsidP="00CF1453">
      <w:pPr>
        <w:pStyle w:val="ListParagraph"/>
        <w:numPr>
          <w:ilvl w:val="0"/>
          <w:numId w:val="6"/>
        </w:numPr>
        <w:spacing w:after="120"/>
        <w:rPr>
          <w:color w:val="002060"/>
          <w:sz w:val="22"/>
          <w:szCs w:val="22"/>
        </w:rPr>
      </w:pPr>
      <w:r w:rsidRPr="00CF1453">
        <w:rPr>
          <w:color w:val="002060"/>
          <w:sz w:val="22"/>
          <w:szCs w:val="22"/>
        </w:rPr>
        <w:t xml:space="preserve">recruited fewer apprentices </w:t>
      </w:r>
    </w:p>
    <w:p w14:paraId="67DD8267" w14:textId="77777777" w:rsidR="00CF1453" w:rsidRPr="00CF1453" w:rsidRDefault="00CF1453" w:rsidP="00CF1453">
      <w:pPr>
        <w:pStyle w:val="ListParagraph"/>
        <w:numPr>
          <w:ilvl w:val="0"/>
          <w:numId w:val="6"/>
        </w:numPr>
        <w:spacing w:after="120"/>
        <w:rPr>
          <w:color w:val="002060"/>
          <w:sz w:val="22"/>
          <w:szCs w:val="22"/>
        </w:rPr>
      </w:pPr>
      <w:r w:rsidRPr="00CF1453">
        <w:rPr>
          <w:color w:val="002060"/>
          <w:sz w:val="22"/>
          <w:szCs w:val="22"/>
        </w:rPr>
        <w:t>delayed apprentice recruitment</w:t>
      </w:r>
    </w:p>
    <w:p w14:paraId="37E0952A" w14:textId="77777777" w:rsidR="00CF1453" w:rsidRPr="00CF1453" w:rsidRDefault="00CF1453" w:rsidP="00CF1453">
      <w:pPr>
        <w:pStyle w:val="ListParagraph"/>
        <w:numPr>
          <w:ilvl w:val="0"/>
          <w:numId w:val="6"/>
        </w:numPr>
        <w:spacing w:after="120"/>
        <w:rPr>
          <w:color w:val="002060"/>
          <w:sz w:val="22"/>
          <w:szCs w:val="22"/>
        </w:rPr>
      </w:pPr>
      <w:r w:rsidRPr="00CF1453">
        <w:rPr>
          <w:color w:val="002060"/>
          <w:sz w:val="22"/>
          <w:szCs w:val="22"/>
        </w:rPr>
        <w:t>reconsidered future apprentice recruitment].</w:t>
      </w:r>
    </w:p>
    <w:p w14:paraId="3DC74DBD" w14:textId="77777777" w:rsidR="00CF1453" w:rsidRPr="00CF1453" w:rsidRDefault="00CF1453" w:rsidP="00CF1453">
      <w:pPr>
        <w:spacing w:after="120"/>
        <w:rPr>
          <w:color w:val="002060"/>
          <w:sz w:val="22"/>
          <w:szCs w:val="22"/>
        </w:rPr>
      </w:pPr>
      <w:r w:rsidRPr="00CF1453">
        <w:rPr>
          <w:color w:val="002060"/>
          <w:sz w:val="22"/>
          <w:szCs w:val="22"/>
        </w:rPr>
        <w:t xml:space="preserve">The main issue is the cumulative cost of employing and training an apprentice over a </w:t>
      </w:r>
      <w:proofErr w:type="gramStart"/>
      <w:r w:rsidRPr="00CF1453">
        <w:rPr>
          <w:color w:val="002060"/>
          <w:sz w:val="22"/>
          <w:szCs w:val="22"/>
        </w:rPr>
        <w:t>four year</w:t>
      </w:r>
      <w:proofErr w:type="gramEnd"/>
      <w:r w:rsidRPr="00CF1453">
        <w:rPr>
          <w:color w:val="002060"/>
          <w:sz w:val="22"/>
          <w:szCs w:val="22"/>
        </w:rPr>
        <w:t xml:space="preserve"> apprenticeship. In plumbing and heating, apprentices are employed full time, attend college, receive workplace training and require extensive supervision before they can work independently.</w:t>
      </w:r>
    </w:p>
    <w:p w14:paraId="21FE3191" w14:textId="77777777" w:rsidR="00CF1453" w:rsidRPr="00CF1453" w:rsidRDefault="00CF1453" w:rsidP="00CF1453">
      <w:pPr>
        <w:spacing w:after="120"/>
        <w:rPr>
          <w:color w:val="002060"/>
          <w:sz w:val="22"/>
          <w:szCs w:val="22"/>
        </w:rPr>
      </w:pPr>
      <w:r w:rsidRPr="00CF1453">
        <w:rPr>
          <w:color w:val="002060"/>
          <w:sz w:val="22"/>
          <w:szCs w:val="22"/>
        </w:rPr>
        <w:t>The current minimum wage framework does not sufficiently reflect this. The Apprentice Rate applies only to apprentices aged under 19, or apprentices aged 19 and over who are in the first year of their apprenticeship. After that point, age-related National Minimum Wage or National Living Wage rates apply, even though the apprentice remains in training and still requires supervision.</w:t>
      </w:r>
    </w:p>
    <w:p w14:paraId="2FC03C5A" w14:textId="77777777" w:rsidR="00CF1453" w:rsidRPr="00CF1453" w:rsidRDefault="00CF1453" w:rsidP="00CF1453">
      <w:pPr>
        <w:spacing w:after="120"/>
        <w:rPr>
          <w:color w:val="002060"/>
          <w:sz w:val="22"/>
          <w:szCs w:val="22"/>
        </w:rPr>
      </w:pPr>
      <w:r w:rsidRPr="00CF1453">
        <w:rPr>
          <w:color w:val="002060"/>
          <w:sz w:val="22"/>
          <w:szCs w:val="22"/>
        </w:rPr>
        <w:t xml:space="preserve">This creates </w:t>
      </w:r>
      <w:proofErr w:type="gramStart"/>
      <w:r w:rsidRPr="00CF1453">
        <w:rPr>
          <w:color w:val="002060"/>
          <w:sz w:val="22"/>
          <w:szCs w:val="22"/>
        </w:rPr>
        <w:t>particular financial</w:t>
      </w:r>
      <w:proofErr w:type="gramEnd"/>
      <w:r w:rsidRPr="00CF1453">
        <w:rPr>
          <w:color w:val="002060"/>
          <w:sz w:val="22"/>
          <w:szCs w:val="22"/>
        </w:rPr>
        <w:t xml:space="preserve"> pressure in years two, three and four of the apprenticeship, when the apprentice is progressing but is not yet fully productive. Employers also carry the cost of tools, young person’s insurance, administration, college attendance and the time of qualified staff who supervise and train apprentices.</w:t>
      </w:r>
    </w:p>
    <w:p w14:paraId="7CD816C4" w14:textId="77777777" w:rsidR="00CF1453" w:rsidRPr="00CF1453" w:rsidRDefault="00CF1453" w:rsidP="00CF1453">
      <w:pPr>
        <w:spacing w:after="120"/>
        <w:rPr>
          <w:color w:val="002060"/>
          <w:sz w:val="22"/>
          <w:szCs w:val="22"/>
        </w:rPr>
      </w:pPr>
      <w:r w:rsidRPr="00CF1453">
        <w:rPr>
          <w:color w:val="002060"/>
          <w:sz w:val="22"/>
          <w:szCs w:val="22"/>
        </w:rPr>
        <w:t xml:space="preserve">The effect is that apprentice recruitment has become more difficult to sustain. </w:t>
      </w:r>
      <w:proofErr w:type="gramStart"/>
      <w:r w:rsidRPr="00CF1453">
        <w:rPr>
          <w:color w:val="002060"/>
          <w:sz w:val="22"/>
          <w:szCs w:val="22"/>
        </w:rPr>
        <w:t>This risks</w:t>
      </w:r>
      <w:proofErr w:type="gramEnd"/>
      <w:r w:rsidRPr="00CF1453">
        <w:rPr>
          <w:color w:val="002060"/>
          <w:sz w:val="22"/>
          <w:szCs w:val="22"/>
        </w:rPr>
        <w:t xml:space="preserve"> reducing opportunities for young people to enter the profession and weakening the future skills pipeline for plumbing, heating, water safety and low carbon technologies.</w:t>
      </w:r>
    </w:p>
    <w:p w14:paraId="675050FC" w14:textId="77777777" w:rsidR="00CF1453" w:rsidRPr="00CF1453" w:rsidRDefault="00CF1453" w:rsidP="00CF1453">
      <w:pPr>
        <w:spacing w:after="120"/>
        <w:ind w:left="426"/>
        <w:rPr>
          <w:color w:val="002060"/>
          <w:sz w:val="22"/>
          <w:szCs w:val="22"/>
        </w:rPr>
      </w:pPr>
    </w:p>
    <w:p w14:paraId="0F3FBDB9" w14:textId="77777777" w:rsidR="00CF1453" w:rsidRPr="00B35E24" w:rsidRDefault="00CF1453" w:rsidP="00CF1453">
      <w:pPr>
        <w:pStyle w:val="ListParagraph"/>
        <w:numPr>
          <w:ilvl w:val="0"/>
          <w:numId w:val="1"/>
        </w:numPr>
        <w:spacing w:after="120"/>
        <w:ind w:left="426" w:hanging="426"/>
        <w:contextualSpacing w:val="0"/>
        <w:rPr>
          <w:b/>
          <w:color w:val="0070C0"/>
        </w:rPr>
      </w:pPr>
      <w:r w:rsidRPr="00B35E24">
        <w:rPr>
          <w:b/>
          <w:color w:val="0070C0"/>
        </w:rPr>
        <w:t>Do you have any other comments to make about the minimum wage?</w:t>
      </w:r>
    </w:p>
    <w:p w14:paraId="1B5E2472"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 xml:space="preserve">Qualified plumbing and heating professionals are paid well above National Living Wage rates. The concern is not the pay of qualified workers, but the affordability of recruiting and training apprentices through a </w:t>
      </w:r>
      <w:proofErr w:type="gramStart"/>
      <w:r w:rsidRPr="00CF1453">
        <w:rPr>
          <w:color w:val="002060"/>
          <w:sz w:val="22"/>
          <w:szCs w:val="22"/>
        </w:rPr>
        <w:t>four year</w:t>
      </w:r>
      <w:proofErr w:type="gramEnd"/>
      <w:r w:rsidRPr="00CF1453">
        <w:rPr>
          <w:color w:val="002060"/>
          <w:sz w:val="22"/>
          <w:szCs w:val="22"/>
        </w:rPr>
        <w:t xml:space="preserve"> apprenticeship.</w:t>
      </w:r>
    </w:p>
    <w:p w14:paraId="05A8F2C6"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 xml:space="preserve">Our profession already has long-established apprentice wage rates agreed with the union, recognising staged progression through the </w:t>
      </w:r>
      <w:proofErr w:type="gramStart"/>
      <w:r w:rsidRPr="00CF1453">
        <w:rPr>
          <w:color w:val="002060"/>
          <w:sz w:val="22"/>
          <w:szCs w:val="22"/>
        </w:rPr>
        <w:t>four year</w:t>
      </w:r>
      <w:proofErr w:type="gramEnd"/>
      <w:r w:rsidRPr="00CF1453">
        <w:rPr>
          <w:color w:val="002060"/>
          <w:sz w:val="22"/>
          <w:szCs w:val="22"/>
        </w:rPr>
        <w:t xml:space="preserve"> apprenticeship. The concern is that the statutory framework does not sufficiently recognise this established model.</w:t>
      </w:r>
    </w:p>
    <w:p w14:paraId="3D7642BD"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The current minimum wage framework also does not sufficiently recognise longer, safety-critical apprenticeships. In plumbing and heating, apprentices remain in structured employment training, attend college and require extensive supervision before they can work independently in people’s homes and building sites.</w:t>
      </w:r>
    </w:p>
    <w:p w14:paraId="7CEB17F6"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Employers support fair pay progression for apprentices. However, the current structure creates significant cost pressure when apprentices move quickly from the first year Apprentice Rate to standard age-related National Minimum Wage or National Living Wage rates, while still requiring training and supervision.</w:t>
      </w:r>
    </w:p>
    <w:p w14:paraId="62032742" w14:textId="77777777" w:rsidR="00CF1453" w:rsidRPr="00CF1453" w:rsidRDefault="00CF1453" w:rsidP="00CF1453">
      <w:pPr>
        <w:pStyle w:val="ListParagraph"/>
        <w:spacing w:after="120"/>
        <w:ind w:left="0"/>
        <w:contextualSpacing w:val="0"/>
        <w:rPr>
          <w:b/>
          <w:color w:val="002060"/>
          <w:sz w:val="22"/>
          <w:szCs w:val="22"/>
        </w:rPr>
      </w:pPr>
      <w:r w:rsidRPr="00CF1453">
        <w:rPr>
          <w:color w:val="002060"/>
          <w:sz w:val="22"/>
          <w:szCs w:val="22"/>
        </w:rPr>
        <w:t xml:space="preserve">The Low Pay Commission should consider a more proportionate approach for multi-year apprenticeships, </w:t>
      </w:r>
      <w:r w:rsidRPr="00CF1453">
        <w:rPr>
          <w:b/>
          <w:color w:val="002060"/>
          <w:sz w:val="22"/>
          <w:szCs w:val="22"/>
        </w:rPr>
        <w:t>including a transitional second year apprentice rate for apprenticeships lasting three years or more.</w:t>
      </w:r>
    </w:p>
    <w:p w14:paraId="2E060896" w14:textId="77777777"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lastRenderedPageBreak/>
        <w:t>This would help protect apprenticeship recruitment, support young people into skilled employment and maintain the future workforce needed for plumbing, heating, water safety and low carbon technologies.</w:t>
      </w:r>
    </w:p>
    <w:p w14:paraId="56059144" w14:textId="77777777" w:rsidR="00CF1453" w:rsidRPr="00CF1453" w:rsidRDefault="00CF1453" w:rsidP="00CF1453">
      <w:pPr>
        <w:pStyle w:val="ListParagraph"/>
        <w:spacing w:after="120"/>
        <w:ind w:left="0"/>
        <w:contextualSpacing w:val="0"/>
        <w:rPr>
          <w:color w:val="002060"/>
          <w:sz w:val="22"/>
          <w:szCs w:val="22"/>
        </w:rPr>
      </w:pPr>
    </w:p>
    <w:p w14:paraId="2EA2C15C" w14:textId="77777777" w:rsidR="00CF1453" w:rsidRPr="00CF1453" w:rsidRDefault="00CF1453" w:rsidP="00CF1453">
      <w:pPr>
        <w:pStyle w:val="ListParagraph"/>
        <w:ind w:left="0"/>
        <w:contextualSpacing w:val="0"/>
        <w:rPr>
          <w:b/>
          <w:color w:val="002060"/>
          <w:sz w:val="22"/>
          <w:szCs w:val="22"/>
        </w:rPr>
      </w:pPr>
      <w:r w:rsidRPr="00CF1453">
        <w:rPr>
          <w:b/>
          <w:color w:val="002060"/>
          <w:sz w:val="22"/>
          <w:szCs w:val="22"/>
        </w:rPr>
        <w:t>Stephanie Lowe</w:t>
      </w:r>
    </w:p>
    <w:p w14:paraId="298642ED" w14:textId="3A4E209D" w:rsidR="00CF1453" w:rsidRPr="00CF1453" w:rsidRDefault="00CF1453" w:rsidP="00CF1453">
      <w:pPr>
        <w:pStyle w:val="ListParagraph"/>
        <w:spacing w:after="120"/>
        <w:ind w:left="0"/>
        <w:contextualSpacing w:val="0"/>
        <w:rPr>
          <w:color w:val="002060"/>
          <w:sz w:val="22"/>
          <w:szCs w:val="22"/>
        </w:rPr>
      </w:pPr>
      <w:r w:rsidRPr="00CF1453">
        <w:rPr>
          <w:color w:val="002060"/>
          <w:sz w:val="22"/>
          <w:szCs w:val="22"/>
        </w:rPr>
        <w:t>June 202</w:t>
      </w:r>
      <w:r w:rsidR="00BA0D4F">
        <w:rPr>
          <w:color w:val="002060"/>
          <w:sz w:val="22"/>
          <w:szCs w:val="22"/>
        </w:rPr>
        <w:t>6</w:t>
      </w:r>
    </w:p>
    <w:sectPr w:rsidR="00CF1453" w:rsidRPr="00CF1453" w:rsidSect="00D87603">
      <w:headerReference w:type="default" r:id="rId10"/>
      <w:pgSz w:w="11906" w:h="16838"/>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D50F9" w14:textId="77777777" w:rsidR="00BC05D0" w:rsidRDefault="00BC05D0" w:rsidP="005B4E7E">
      <w:r>
        <w:separator/>
      </w:r>
    </w:p>
  </w:endnote>
  <w:endnote w:type="continuationSeparator" w:id="0">
    <w:p w14:paraId="7A1256BE" w14:textId="77777777" w:rsidR="00BC05D0" w:rsidRDefault="00BC05D0" w:rsidP="005B4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7678A" w14:textId="77777777" w:rsidR="00BC05D0" w:rsidRDefault="00BC05D0" w:rsidP="005B4E7E">
      <w:r>
        <w:separator/>
      </w:r>
    </w:p>
  </w:footnote>
  <w:footnote w:type="continuationSeparator" w:id="0">
    <w:p w14:paraId="47D495E7" w14:textId="77777777" w:rsidR="00BC05D0" w:rsidRDefault="00BC05D0" w:rsidP="005B4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D9F0" w14:textId="41C50A44" w:rsidR="00CF1453" w:rsidRDefault="00CF1453">
    <w:pPr>
      <w:pStyle w:val="Header"/>
    </w:pPr>
    <w:r>
      <w:rPr>
        <w:noProof/>
      </w:rPr>
      <w:drawing>
        <wp:anchor distT="0" distB="0" distL="114300" distR="114300" simplePos="0" relativeHeight="251659264" behindDoc="0" locked="0" layoutInCell="1" allowOverlap="1" wp14:anchorId="4EFB4A78" wp14:editId="63F5F753">
          <wp:simplePos x="0" y="0"/>
          <wp:positionH relativeFrom="column">
            <wp:posOffset>3276600</wp:posOffset>
          </wp:positionH>
          <wp:positionV relativeFrom="paragraph">
            <wp:posOffset>-343535</wp:posOffset>
          </wp:positionV>
          <wp:extent cx="2520000" cy="680964"/>
          <wp:effectExtent l="0" t="0" r="0" b="5080"/>
          <wp:wrapSquare wrapText="bothSides"/>
          <wp:docPr id="1033300044"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229411"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20000" cy="680964"/>
                  </a:xfrm>
                  <a:prstGeom prst="rect">
                    <a:avLst/>
                  </a:prstGeom>
                </pic:spPr>
              </pic:pic>
            </a:graphicData>
          </a:graphic>
        </wp:anchor>
      </w:drawing>
    </w:r>
  </w:p>
  <w:p w14:paraId="29394B5E" w14:textId="77777777" w:rsidR="00CF1453" w:rsidRDefault="00CF1453">
    <w:pPr>
      <w:pStyle w:val="Header"/>
    </w:pPr>
  </w:p>
  <w:p w14:paraId="43DE8DB4" w14:textId="5C1F8F30" w:rsidR="005B4E7E" w:rsidRDefault="005B4E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45C"/>
    <w:multiLevelType w:val="hybridMultilevel"/>
    <w:tmpl w:val="AD60CBEE"/>
    <w:lvl w:ilvl="0" w:tplc="9DB6DEEA">
      <w:start w:val="9"/>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7321D1"/>
    <w:multiLevelType w:val="hybridMultilevel"/>
    <w:tmpl w:val="8438F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C50EB"/>
    <w:multiLevelType w:val="hybridMultilevel"/>
    <w:tmpl w:val="2682D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C11541"/>
    <w:multiLevelType w:val="hybridMultilevel"/>
    <w:tmpl w:val="637E338A"/>
    <w:lvl w:ilvl="0" w:tplc="55BEF61A">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96E1066"/>
    <w:multiLevelType w:val="hybridMultilevel"/>
    <w:tmpl w:val="9F808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2BE3E5A"/>
    <w:multiLevelType w:val="hybridMultilevel"/>
    <w:tmpl w:val="8632C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7258073">
    <w:abstractNumId w:val="1"/>
  </w:num>
  <w:num w:numId="2" w16cid:durableId="1885021795">
    <w:abstractNumId w:val="3"/>
  </w:num>
  <w:num w:numId="3" w16cid:durableId="414282976">
    <w:abstractNumId w:val="0"/>
  </w:num>
  <w:num w:numId="4" w16cid:durableId="1755198683">
    <w:abstractNumId w:val="5"/>
  </w:num>
  <w:num w:numId="5" w16cid:durableId="999387018">
    <w:abstractNumId w:val="4"/>
  </w:num>
  <w:num w:numId="6" w16cid:durableId="2143576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453"/>
    <w:rsid w:val="00054A26"/>
    <w:rsid w:val="00086111"/>
    <w:rsid w:val="000E5B0E"/>
    <w:rsid w:val="00123702"/>
    <w:rsid w:val="0013284B"/>
    <w:rsid w:val="001466B2"/>
    <w:rsid w:val="001566F7"/>
    <w:rsid w:val="001A3BC9"/>
    <w:rsid w:val="001C36D6"/>
    <w:rsid w:val="001D5649"/>
    <w:rsid w:val="00224D1F"/>
    <w:rsid w:val="002250AD"/>
    <w:rsid w:val="00230088"/>
    <w:rsid w:val="002516DC"/>
    <w:rsid w:val="002D5250"/>
    <w:rsid w:val="002D6900"/>
    <w:rsid w:val="002F3ACF"/>
    <w:rsid w:val="00374D49"/>
    <w:rsid w:val="003A584C"/>
    <w:rsid w:val="003B54E1"/>
    <w:rsid w:val="003C69AE"/>
    <w:rsid w:val="003E0B4F"/>
    <w:rsid w:val="003F5128"/>
    <w:rsid w:val="003F5217"/>
    <w:rsid w:val="0040705D"/>
    <w:rsid w:val="00436438"/>
    <w:rsid w:val="004441B7"/>
    <w:rsid w:val="0045159C"/>
    <w:rsid w:val="004769A2"/>
    <w:rsid w:val="004A287D"/>
    <w:rsid w:val="004A3664"/>
    <w:rsid w:val="004C708A"/>
    <w:rsid w:val="004D480F"/>
    <w:rsid w:val="00522016"/>
    <w:rsid w:val="00582C5B"/>
    <w:rsid w:val="005B4E7E"/>
    <w:rsid w:val="00665B4D"/>
    <w:rsid w:val="00675B67"/>
    <w:rsid w:val="00734AE1"/>
    <w:rsid w:val="007411C2"/>
    <w:rsid w:val="007423E0"/>
    <w:rsid w:val="007A7355"/>
    <w:rsid w:val="007D2FA8"/>
    <w:rsid w:val="007D445F"/>
    <w:rsid w:val="007F2FEB"/>
    <w:rsid w:val="008B15A8"/>
    <w:rsid w:val="009202B7"/>
    <w:rsid w:val="00945B6A"/>
    <w:rsid w:val="00993757"/>
    <w:rsid w:val="009A2935"/>
    <w:rsid w:val="009B25F5"/>
    <w:rsid w:val="009C7938"/>
    <w:rsid w:val="009E0348"/>
    <w:rsid w:val="00A01A2D"/>
    <w:rsid w:val="00A65DD5"/>
    <w:rsid w:val="00A75A55"/>
    <w:rsid w:val="00AA00AF"/>
    <w:rsid w:val="00AD13B3"/>
    <w:rsid w:val="00B35E24"/>
    <w:rsid w:val="00B87C44"/>
    <w:rsid w:val="00BA0D4F"/>
    <w:rsid w:val="00BA1269"/>
    <w:rsid w:val="00BC05D0"/>
    <w:rsid w:val="00BE338C"/>
    <w:rsid w:val="00BF470D"/>
    <w:rsid w:val="00C11C07"/>
    <w:rsid w:val="00C43817"/>
    <w:rsid w:val="00CB2D62"/>
    <w:rsid w:val="00CC02E2"/>
    <w:rsid w:val="00CF1453"/>
    <w:rsid w:val="00D15996"/>
    <w:rsid w:val="00D87603"/>
    <w:rsid w:val="00D93CDF"/>
    <w:rsid w:val="00DD5021"/>
    <w:rsid w:val="00E40B07"/>
    <w:rsid w:val="00E45FAA"/>
    <w:rsid w:val="00E77641"/>
    <w:rsid w:val="00E83210"/>
    <w:rsid w:val="00EA3D71"/>
    <w:rsid w:val="00ED25AD"/>
    <w:rsid w:val="00EF5467"/>
    <w:rsid w:val="00EF5C9A"/>
    <w:rsid w:val="00F50D71"/>
    <w:rsid w:val="00FF038D"/>
    <w:rsid w:val="00FF2E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DFA15"/>
  <w15:chartTrackingRefBased/>
  <w15:docId w15:val="{17293DFB-B4C7-4754-A53E-628AA585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649"/>
    <w:pPr>
      <w:spacing w:after="0" w:line="240" w:lineRule="auto"/>
    </w:pPr>
    <w:rPr>
      <w:rFonts w:ascii="Aptos" w:eastAsia="Times New Roman" w:hAnsi="Aptos" w:cs="Aptos"/>
      <w:kern w:val="0"/>
      <w:sz w:val="24"/>
      <w:szCs w:val="24"/>
      <w:lang w:eastAsia="en-GB"/>
      <w14:ligatures w14:val="none"/>
    </w:rPr>
  </w:style>
  <w:style w:type="paragraph" w:styleId="Heading1">
    <w:name w:val="heading 1"/>
    <w:basedOn w:val="Normal"/>
    <w:next w:val="Normal"/>
    <w:link w:val="Heading1Char"/>
    <w:uiPriority w:val="9"/>
    <w:qFormat/>
    <w:rsid w:val="005B4E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E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E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E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E7E"/>
    <w:rPr>
      <w:rFonts w:eastAsiaTheme="majorEastAsia" w:cstheme="majorBidi"/>
      <w:color w:val="272727" w:themeColor="text1" w:themeTint="D8"/>
    </w:rPr>
  </w:style>
  <w:style w:type="paragraph" w:styleId="Title">
    <w:name w:val="Title"/>
    <w:basedOn w:val="Normal"/>
    <w:next w:val="Normal"/>
    <w:link w:val="TitleChar"/>
    <w:uiPriority w:val="10"/>
    <w:qFormat/>
    <w:rsid w:val="005B4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E7E"/>
    <w:pPr>
      <w:spacing w:before="160"/>
      <w:jc w:val="center"/>
    </w:pPr>
    <w:rPr>
      <w:i/>
      <w:iCs/>
      <w:color w:val="404040" w:themeColor="text1" w:themeTint="BF"/>
    </w:rPr>
  </w:style>
  <w:style w:type="character" w:customStyle="1" w:styleId="QuoteChar">
    <w:name w:val="Quote Char"/>
    <w:basedOn w:val="DefaultParagraphFont"/>
    <w:link w:val="Quote"/>
    <w:uiPriority w:val="29"/>
    <w:rsid w:val="005B4E7E"/>
    <w:rPr>
      <w:i/>
      <w:iCs/>
      <w:color w:val="404040" w:themeColor="text1" w:themeTint="BF"/>
    </w:rPr>
  </w:style>
  <w:style w:type="paragraph" w:styleId="ListParagraph">
    <w:name w:val="List Paragraph"/>
    <w:basedOn w:val="Normal"/>
    <w:uiPriority w:val="34"/>
    <w:qFormat/>
    <w:rsid w:val="005B4E7E"/>
    <w:pPr>
      <w:ind w:left="720"/>
      <w:contextualSpacing/>
    </w:pPr>
  </w:style>
  <w:style w:type="character" w:styleId="IntenseEmphasis">
    <w:name w:val="Intense Emphasis"/>
    <w:basedOn w:val="DefaultParagraphFont"/>
    <w:uiPriority w:val="21"/>
    <w:qFormat/>
    <w:rsid w:val="005B4E7E"/>
    <w:rPr>
      <w:i/>
      <w:iCs/>
      <w:color w:val="0F4761" w:themeColor="accent1" w:themeShade="BF"/>
    </w:rPr>
  </w:style>
  <w:style w:type="paragraph" w:styleId="IntenseQuote">
    <w:name w:val="Intense Quote"/>
    <w:basedOn w:val="Normal"/>
    <w:next w:val="Normal"/>
    <w:link w:val="IntenseQuoteChar"/>
    <w:uiPriority w:val="30"/>
    <w:qFormat/>
    <w:rsid w:val="005B4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E7E"/>
    <w:rPr>
      <w:i/>
      <w:iCs/>
      <w:color w:val="0F4761" w:themeColor="accent1" w:themeShade="BF"/>
    </w:rPr>
  </w:style>
  <w:style w:type="character" w:styleId="IntenseReference">
    <w:name w:val="Intense Reference"/>
    <w:basedOn w:val="DefaultParagraphFont"/>
    <w:uiPriority w:val="32"/>
    <w:qFormat/>
    <w:rsid w:val="005B4E7E"/>
    <w:rPr>
      <w:b/>
      <w:bCs/>
      <w:smallCaps/>
      <w:color w:val="0F4761" w:themeColor="accent1" w:themeShade="BF"/>
      <w:spacing w:val="5"/>
    </w:rPr>
  </w:style>
  <w:style w:type="paragraph" w:styleId="Header">
    <w:name w:val="header"/>
    <w:basedOn w:val="Normal"/>
    <w:link w:val="HeaderChar"/>
    <w:uiPriority w:val="99"/>
    <w:unhideWhenUsed/>
    <w:rsid w:val="005B4E7E"/>
    <w:pPr>
      <w:tabs>
        <w:tab w:val="center" w:pos="4513"/>
        <w:tab w:val="right" w:pos="9026"/>
      </w:tabs>
    </w:pPr>
  </w:style>
  <w:style w:type="character" w:customStyle="1" w:styleId="HeaderChar">
    <w:name w:val="Header Char"/>
    <w:basedOn w:val="DefaultParagraphFont"/>
    <w:link w:val="Header"/>
    <w:uiPriority w:val="99"/>
    <w:rsid w:val="005B4E7E"/>
  </w:style>
  <w:style w:type="paragraph" w:styleId="Footer">
    <w:name w:val="footer"/>
    <w:basedOn w:val="Normal"/>
    <w:link w:val="FooterChar"/>
    <w:uiPriority w:val="99"/>
    <w:unhideWhenUsed/>
    <w:rsid w:val="005B4E7E"/>
    <w:pPr>
      <w:tabs>
        <w:tab w:val="center" w:pos="4513"/>
        <w:tab w:val="right" w:pos="9026"/>
      </w:tabs>
    </w:pPr>
  </w:style>
  <w:style w:type="character" w:customStyle="1" w:styleId="FooterChar">
    <w:name w:val="Footer Char"/>
    <w:basedOn w:val="DefaultParagraphFont"/>
    <w:link w:val="Footer"/>
    <w:uiPriority w:val="99"/>
    <w:rsid w:val="005B4E7E"/>
  </w:style>
  <w:style w:type="character" w:customStyle="1" w:styleId="display-with-image-display">
    <w:name w:val="display-with-image-display"/>
    <w:basedOn w:val="DefaultParagraphFont"/>
    <w:rsid w:val="008B15A8"/>
  </w:style>
  <w:style w:type="character" w:styleId="Hyperlink">
    <w:name w:val="Hyperlink"/>
    <w:basedOn w:val="DefaultParagraphFont"/>
    <w:uiPriority w:val="99"/>
    <w:unhideWhenUsed/>
    <w:rsid w:val="001D5649"/>
    <w:rPr>
      <w:rFonts w:cs="Times New Roman"/>
      <w:color w:val="0000FF"/>
      <w:u w:val="single"/>
    </w:rPr>
  </w:style>
  <w:style w:type="character" w:styleId="UnresolvedMention">
    <w:name w:val="Unresolved Mention"/>
    <w:basedOn w:val="DefaultParagraphFont"/>
    <w:uiPriority w:val="99"/>
    <w:semiHidden/>
    <w:unhideWhenUsed/>
    <w:rsid w:val="007423E0"/>
    <w:rPr>
      <w:color w:val="605E5C"/>
      <w:shd w:val="clear" w:color="auto" w:fill="E1DFDD"/>
    </w:rPr>
  </w:style>
  <w:style w:type="character" w:styleId="FollowedHyperlink">
    <w:name w:val="FollowedHyperlink"/>
    <w:basedOn w:val="DefaultParagraphFont"/>
    <w:uiPriority w:val="99"/>
    <w:semiHidden/>
    <w:unhideWhenUsed/>
    <w:rsid w:val="00AD13B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ferguson@snipef.org" TargetMode="External"/><Relationship Id="rId3" Type="http://schemas.openxmlformats.org/officeDocument/2006/relationships/settings" Target="settings.xml"/><Relationship Id="rId7" Type="http://schemas.openxmlformats.org/officeDocument/2006/relationships/hyperlink" Target="mailto:lpc@lowpay.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tephanie.lowe@snipe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Campbell\OneDrive%20-%20SNIPEF%20Management%20Ltd\Desktop\Standa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Standard Template</Template>
  <TotalTime>6</TotalTime>
  <Pages>9</Pages>
  <Words>3841</Words>
  <Characters>21896</Characters>
  <Application>Microsoft Office Word</Application>
  <DocSecurity>0</DocSecurity>
  <Lines>182</Lines>
  <Paragraphs>51</Paragraphs>
  <ScaleCrop>false</ScaleCrop>
  <Company/>
  <LinksUpToDate>false</LinksUpToDate>
  <CharactersWithSpaces>25686</CharactersWithSpaces>
  <SharedDoc>false</SharedDoc>
  <HLinks>
    <vt:vector size="18" baseType="variant">
      <vt:variant>
        <vt:i4>3932225</vt:i4>
      </vt:variant>
      <vt:variant>
        <vt:i4>6</vt:i4>
      </vt:variant>
      <vt:variant>
        <vt:i4>0</vt:i4>
      </vt:variant>
      <vt:variant>
        <vt:i4>5</vt:i4>
      </vt:variant>
      <vt:variant>
        <vt:lpwstr>mailto:stephanie.lowe@snipef.org</vt:lpwstr>
      </vt:variant>
      <vt:variant>
        <vt:lpwstr/>
      </vt:variant>
      <vt:variant>
        <vt:i4>4128853</vt:i4>
      </vt:variant>
      <vt:variant>
        <vt:i4>3</vt:i4>
      </vt:variant>
      <vt:variant>
        <vt:i4>0</vt:i4>
      </vt:variant>
      <vt:variant>
        <vt:i4>5</vt:i4>
      </vt:variant>
      <vt:variant>
        <vt:lpwstr>mailto:linda.ferguson@snipef.org</vt:lpwstr>
      </vt:variant>
      <vt:variant>
        <vt:lpwstr/>
      </vt:variant>
      <vt:variant>
        <vt:i4>1245304</vt:i4>
      </vt:variant>
      <vt:variant>
        <vt:i4>0</vt:i4>
      </vt:variant>
      <vt:variant>
        <vt:i4>0</vt:i4>
      </vt:variant>
      <vt:variant>
        <vt:i4>5</vt:i4>
      </vt:variant>
      <vt:variant>
        <vt:lpwstr>mailto:lpc@lowpay.gov.uk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Campbell</dc:creator>
  <cp:keywords/>
  <dc:description/>
  <cp:lastModifiedBy>Linda Ferguson</cp:lastModifiedBy>
  <cp:revision>2</cp:revision>
  <cp:lastPrinted>2026-06-10T08:18:00Z</cp:lastPrinted>
  <dcterms:created xsi:type="dcterms:W3CDTF">2026-06-10T10:27:00Z</dcterms:created>
  <dcterms:modified xsi:type="dcterms:W3CDTF">2026-06-10T10:27:00Z</dcterms:modified>
</cp:coreProperties>
</file>