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70A7" w14:textId="77777777" w:rsidR="00123702" w:rsidRDefault="00123702">
      <w:pPr>
        <w:rPr>
          <w:color w:val="002060"/>
        </w:rPr>
      </w:pPr>
    </w:p>
    <w:p w14:paraId="1B6F8E3B" w14:textId="77777777" w:rsidR="00470D3A" w:rsidRDefault="00470D3A">
      <w:pPr>
        <w:rPr>
          <w:color w:val="002060"/>
        </w:rPr>
      </w:pPr>
    </w:p>
    <w:p w14:paraId="7E38CD50" w14:textId="78EDFB49" w:rsidR="00470D3A" w:rsidRPr="00470D3A" w:rsidRDefault="00470D3A" w:rsidP="00470D3A">
      <w:pPr>
        <w:spacing w:after="0"/>
        <w:rPr>
          <w:b/>
          <w:bCs/>
          <w:color w:val="002060"/>
          <w:sz w:val="36"/>
          <w:szCs w:val="36"/>
        </w:rPr>
      </w:pPr>
      <w:r w:rsidRPr="00470D3A">
        <w:rPr>
          <w:b/>
          <w:bCs/>
          <w:color w:val="002060"/>
          <w:sz w:val="36"/>
          <w:szCs w:val="36"/>
        </w:rPr>
        <w:t>Permitted Development Rights</w:t>
      </w:r>
      <w:r>
        <w:rPr>
          <w:b/>
          <w:bCs/>
          <w:color w:val="002060"/>
          <w:sz w:val="36"/>
          <w:szCs w:val="36"/>
        </w:rPr>
        <w:t xml:space="preserve"> (PDR) </w:t>
      </w:r>
    </w:p>
    <w:p w14:paraId="664845F7" w14:textId="46DC45BD" w:rsidR="00470D3A" w:rsidRDefault="00470D3A">
      <w:pPr>
        <w:rPr>
          <w:b/>
          <w:bCs/>
          <w:color w:val="0070C0"/>
          <w:sz w:val="24"/>
          <w:szCs w:val="24"/>
        </w:rPr>
      </w:pPr>
      <w:r w:rsidRPr="00470D3A">
        <w:rPr>
          <w:b/>
          <w:bCs/>
          <w:color w:val="0070C0"/>
          <w:sz w:val="24"/>
          <w:szCs w:val="24"/>
        </w:rPr>
        <w:t>Consultation Submission</w:t>
      </w:r>
    </w:p>
    <w:p w14:paraId="71B1BD94" w14:textId="77777777" w:rsidR="00470D3A" w:rsidRDefault="00470D3A">
      <w:pPr>
        <w:rPr>
          <w:b/>
          <w:bCs/>
          <w:color w:val="0070C0"/>
          <w:sz w:val="24"/>
          <w:szCs w:val="24"/>
        </w:rPr>
      </w:pPr>
    </w:p>
    <w:p w14:paraId="306A3215" w14:textId="085DBA49" w:rsidR="00470D3A" w:rsidRPr="00470D3A" w:rsidRDefault="00470D3A">
      <w:pPr>
        <w:rPr>
          <w:b/>
          <w:bCs/>
          <w:color w:val="0070C0"/>
        </w:rPr>
      </w:pPr>
      <w:r w:rsidRPr="00470D3A">
        <w:rPr>
          <w:b/>
          <w:bCs/>
          <w:color w:val="0070C0"/>
        </w:rPr>
        <w:t>Submission deadline:</w:t>
      </w:r>
      <w:r w:rsidR="00D320E6">
        <w:rPr>
          <w:b/>
          <w:bCs/>
          <w:color w:val="0070C0"/>
        </w:rPr>
        <w:t xml:space="preserve"> 27 October </w:t>
      </w:r>
      <w:r w:rsidRPr="00470D3A">
        <w:rPr>
          <w:b/>
          <w:bCs/>
          <w:color w:val="0070C0"/>
        </w:rPr>
        <w:t>2025</w:t>
      </w:r>
    </w:p>
    <w:p w14:paraId="59C1BCA2" w14:textId="2014112C" w:rsidR="00470D3A" w:rsidRPr="00470D3A" w:rsidRDefault="00470D3A">
      <w:pPr>
        <w:rPr>
          <w:b/>
          <w:bCs/>
          <w:color w:val="0070C0"/>
        </w:rPr>
      </w:pPr>
      <w:r w:rsidRPr="00470D3A">
        <w:rPr>
          <w:b/>
          <w:bCs/>
          <w:color w:val="0070C0"/>
        </w:rPr>
        <w:t xml:space="preserve">Link to PDR consultation: </w:t>
      </w:r>
      <w:hyperlink r:id="rId10" w:history="1">
        <w:r w:rsidRPr="00470D3A">
          <w:rPr>
            <w:rStyle w:val="Hyperlink"/>
            <w:b/>
            <w:bCs/>
          </w:rPr>
          <w:t>HERE</w:t>
        </w:r>
      </w:hyperlink>
    </w:p>
    <w:p w14:paraId="36CC8B7B" w14:textId="77777777" w:rsidR="00470D3A" w:rsidRDefault="00470D3A">
      <w:pPr>
        <w:rPr>
          <w:b/>
          <w:bCs/>
          <w:color w:val="002060"/>
        </w:rPr>
      </w:pPr>
    </w:p>
    <w:p w14:paraId="686469CB" w14:textId="6483FEA2" w:rsidR="00470D3A" w:rsidRPr="00470D3A" w:rsidRDefault="00470D3A">
      <w:pPr>
        <w:rPr>
          <w:b/>
          <w:bCs/>
          <w:color w:val="002060"/>
        </w:rPr>
      </w:pPr>
      <w:r w:rsidRPr="00470D3A">
        <w:rPr>
          <w:b/>
          <w:bCs/>
          <w:color w:val="002060"/>
        </w:rPr>
        <w:t>Background to PDR consultation</w:t>
      </w:r>
    </w:p>
    <w:p w14:paraId="0B64D873" w14:textId="77777777" w:rsidR="00470D3A" w:rsidRDefault="00470D3A" w:rsidP="00470D3A">
      <w:pPr>
        <w:rPr>
          <w:color w:val="002060"/>
        </w:rPr>
      </w:pPr>
      <w:r w:rsidRPr="00470D3A">
        <w:rPr>
          <w:color w:val="002060"/>
        </w:rPr>
        <w:t xml:space="preserve">The Scottish Government is consulting on whether changes to permitted development rights (PDR) could help tackle the current housing emergency, while also supporting the rollout of heat networks and domestic air source heat pumps. </w:t>
      </w:r>
    </w:p>
    <w:p w14:paraId="0B872274" w14:textId="3AC8F205" w:rsidR="00470D3A" w:rsidRPr="00470D3A" w:rsidRDefault="00470D3A" w:rsidP="00470D3A">
      <w:pPr>
        <w:rPr>
          <w:color w:val="002060"/>
        </w:rPr>
      </w:pPr>
      <w:r>
        <w:rPr>
          <w:color w:val="002060"/>
        </w:rPr>
        <w:t xml:space="preserve">This </w:t>
      </w:r>
      <w:r w:rsidRPr="00470D3A">
        <w:rPr>
          <w:color w:val="002060"/>
        </w:rPr>
        <w:t xml:space="preserve">consultation </w:t>
      </w:r>
      <w:r>
        <w:rPr>
          <w:color w:val="002060"/>
        </w:rPr>
        <w:t xml:space="preserve">is </w:t>
      </w:r>
      <w:r w:rsidRPr="00470D3A">
        <w:rPr>
          <w:color w:val="002060"/>
        </w:rPr>
        <w:t>invit</w:t>
      </w:r>
      <w:r>
        <w:rPr>
          <w:color w:val="002060"/>
        </w:rPr>
        <w:t>ing</w:t>
      </w:r>
      <w:r w:rsidRPr="00470D3A">
        <w:rPr>
          <w:color w:val="002060"/>
        </w:rPr>
        <w:t xml:space="preserve"> views that will shape proposals for new or amended PDR, with any resulting statutory instrument expected to be laid before the Scottish Parliament in early 2026.</w:t>
      </w:r>
    </w:p>
    <w:p w14:paraId="03200283" w14:textId="77777777" w:rsidR="00470D3A" w:rsidRDefault="00470D3A" w:rsidP="00470D3A">
      <w:pPr>
        <w:rPr>
          <w:color w:val="002060"/>
        </w:rPr>
      </w:pPr>
      <w:r w:rsidRPr="00470D3A">
        <w:rPr>
          <w:color w:val="002060"/>
        </w:rPr>
        <w:t xml:space="preserve">PDR grant planning permission through legislation, meaning certain developments can proceed without a formal planning application. They are set out in the Town and Country Planning (General Permitted Development) (Scotland) Order 1992 and organised into “classes” which define permitted activities. </w:t>
      </w:r>
    </w:p>
    <w:p w14:paraId="5A4174B6" w14:textId="49F97C3D" w:rsidR="00470D3A" w:rsidRPr="00470D3A" w:rsidRDefault="00470D3A" w:rsidP="00470D3A">
      <w:pPr>
        <w:rPr>
          <w:color w:val="002060"/>
        </w:rPr>
      </w:pPr>
      <w:r w:rsidRPr="00470D3A">
        <w:rPr>
          <w:color w:val="002060"/>
        </w:rPr>
        <w:t>Conditions and restrictions apply, such as limits on size, location, or eligible developers. In some cases, PDR involve a “prior notification/prior approval” process, requiring developers to notify the local authority so that limited aspects, such as design or siting, can be assessed. This is a lighter-touch process than a full planning application.</w:t>
      </w:r>
    </w:p>
    <w:p w14:paraId="1C274947" w14:textId="77777777" w:rsidR="00470D3A" w:rsidRDefault="00470D3A" w:rsidP="00470D3A">
      <w:pPr>
        <w:rPr>
          <w:color w:val="002060"/>
        </w:rPr>
      </w:pPr>
      <w:r w:rsidRPr="00470D3A">
        <w:rPr>
          <w:color w:val="002060"/>
        </w:rPr>
        <w:t>Currently, PDR for housing is limited. They permit: (1) conversion of agricultural and forestry buildings into up to five homes (subject to restrictions), and (2) local authority construction of dwellings aligned with development plans. Other housing proposals must seek full planning permission.</w:t>
      </w:r>
    </w:p>
    <w:p w14:paraId="53DD09CF" w14:textId="3815158F" w:rsidR="00470D3A" w:rsidRPr="00470D3A" w:rsidRDefault="00470D3A" w:rsidP="00470D3A">
      <w:pPr>
        <w:rPr>
          <w:b/>
          <w:bCs/>
          <w:color w:val="002060"/>
        </w:rPr>
      </w:pPr>
      <w:r w:rsidRPr="00470D3A">
        <w:rPr>
          <w:b/>
          <w:bCs/>
          <w:color w:val="002060"/>
        </w:rPr>
        <w:t>Questions</w:t>
      </w:r>
    </w:p>
    <w:p w14:paraId="429FAA2D" w14:textId="32215B9F" w:rsidR="00470D3A" w:rsidRDefault="00470D3A">
      <w:pPr>
        <w:rPr>
          <w:color w:val="002060"/>
        </w:rPr>
      </w:pPr>
      <w:r w:rsidRPr="00470D3A">
        <w:rPr>
          <w:color w:val="002060"/>
        </w:rPr>
        <w:t xml:space="preserve">For this consultation, we will focus only on </w:t>
      </w:r>
      <w:r>
        <w:rPr>
          <w:color w:val="002060"/>
        </w:rPr>
        <w:t>q</w:t>
      </w:r>
      <w:r w:rsidRPr="00470D3A">
        <w:rPr>
          <w:color w:val="002060"/>
        </w:rPr>
        <w:t>uestions 21–26, as these are the most relevant to the plumbing and heating profession.</w:t>
      </w:r>
      <w:r>
        <w:rPr>
          <w:color w:val="002060"/>
        </w:rPr>
        <w:t xml:space="preserve"> I have, however, listed all questions for reference.</w:t>
      </w:r>
    </w:p>
    <w:p w14:paraId="4A1F9625" w14:textId="77777777" w:rsidR="00470D3A" w:rsidRDefault="00470D3A">
      <w:pPr>
        <w:rPr>
          <w:color w:val="002060"/>
        </w:rPr>
      </w:pPr>
    </w:p>
    <w:tbl>
      <w:tblPr>
        <w:tblStyle w:val="TableGrid"/>
        <w:tblW w:w="9776" w:type="dxa"/>
        <w:jc w:val="center"/>
        <w:tblLook w:val="04A0" w:firstRow="1" w:lastRow="0" w:firstColumn="1" w:lastColumn="0" w:noHBand="0" w:noVBand="1"/>
      </w:tblPr>
      <w:tblGrid>
        <w:gridCol w:w="452"/>
        <w:gridCol w:w="4363"/>
        <w:gridCol w:w="4961"/>
      </w:tblGrid>
      <w:tr w:rsidR="00C6798C" w:rsidRPr="00C6798C" w14:paraId="3F335B40" w14:textId="77777777" w:rsidTr="487F21E4">
        <w:trPr>
          <w:jc w:val="center"/>
        </w:trPr>
        <w:tc>
          <w:tcPr>
            <w:tcW w:w="452" w:type="dxa"/>
            <w:shd w:val="clear" w:color="auto" w:fill="002060"/>
            <w:vAlign w:val="center"/>
          </w:tcPr>
          <w:p w14:paraId="4D45CD5E" w14:textId="59C17073" w:rsidR="00C6798C" w:rsidRPr="00C6798C" w:rsidRDefault="00C6798C" w:rsidP="00C6798C">
            <w:pPr>
              <w:rPr>
                <w:b/>
                <w:bCs/>
                <w:color w:val="FFFFFF" w:themeColor="background1"/>
              </w:rPr>
            </w:pPr>
            <w:r>
              <w:rPr>
                <w:b/>
                <w:bCs/>
                <w:color w:val="FFFFFF" w:themeColor="background1"/>
              </w:rPr>
              <w:t>Q.</w:t>
            </w:r>
          </w:p>
        </w:tc>
        <w:tc>
          <w:tcPr>
            <w:tcW w:w="4363" w:type="dxa"/>
            <w:shd w:val="clear" w:color="auto" w:fill="002060"/>
            <w:vAlign w:val="center"/>
          </w:tcPr>
          <w:p w14:paraId="6F7A4D1C" w14:textId="413FF278" w:rsidR="00C6798C" w:rsidRPr="00C6798C" w:rsidRDefault="00C6798C" w:rsidP="00C6798C">
            <w:pPr>
              <w:spacing w:after="120"/>
              <w:rPr>
                <w:b/>
                <w:bCs/>
                <w:color w:val="FFFFFF" w:themeColor="background1"/>
              </w:rPr>
            </w:pPr>
            <w:r w:rsidRPr="00C6798C">
              <w:rPr>
                <w:b/>
                <w:bCs/>
                <w:color w:val="FFFFFF" w:themeColor="background1"/>
              </w:rPr>
              <w:t>Question</w:t>
            </w:r>
          </w:p>
        </w:tc>
        <w:tc>
          <w:tcPr>
            <w:tcW w:w="4961" w:type="dxa"/>
            <w:shd w:val="clear" w:color="auto" w:fill="002060"/>
          </w:tcPr>
          <w:p w14:paraId="41ED145F" w14:textId="5F8D56D4" w:rsidR="00C6798C" w:rsidRPr="00C6798C" w:rsidRDefault="00C6798C">
            <w:pPr>
              <w:rPr>
                <w:b/>
                <w:bCs/>
                <w:color w:val="FFFFFF" w:themeColor="background1"/>
              </w:rPr>
            </w:pPr>
            <w:r w:rsidRPr="00C6798C">
              <w:rPr>
                <w:b/>
                <w:bCs/>
                <w:color w:val="FFFFFF" w:themeColor="background1"/>
              </w:rPr>
              <w:t>SNIPEF Response</w:t>
            </w:r>
          </w:p>
        </w:tc>
      </w:tr>
      <w:tr w:rsidR="00C6798C" w:rsidRPr="00C6798C" w14:paraId="088611CB" w14:textId="77777777" w:rsidTr="487F21E4">
        <w:trPr>
          <w:jc w:val="center"/>
        </w:trPr>
        <w:tc>
          <w:tcPr>
            <w:tcW w:w="452" w:type="dxa"/>
            <w:shd w:val="clear" w:color="auto" w:fill="F2F2F2" w:themeFill="background1" w:themeFillShade="F2"/>
            <w:vAlign w:val="center"/>
          </w:tcPr>
          <w:p w14:paraId="1DE6BDB1" w14:textId="6D03DB6B" w:rsidR="00C6798C" w:rsidRPr="00C6798C" w:rsidRDefault="00C6798C" w:rsidP="00C6798C">
            <w:pPr>
              <w:rPr>
                <w:color w:val="002060"/>
              </w:rPr>
            </w:pPr>
            <w:r>
              <w:rPr>
                <w:color w:val="002060"/>
              </w:rPr>
              <w:t>1</w:t>
            </w:r>
          </w:p>
        </w:tc>
        <w:tc>
          <w:tcPr>
            <w:tcW w:w="4363" w:type="dxa"/>
            <w:shd w:val="clear" w:color="auto" w:fill="F2F2F2" w:themeFill="background1" w:themeFillShade="F2"/>
            <w:vAlign w:val="center"/>
          </w:tcPr>
          <w:p w14:paraId="30407ED1" w14:textId="097C7068" w:rsidR="00C6798C" w:rsidRPr="00C6798C" w:rsidRDefault="00C6798C" w:rsidP="00C6798C">
            <w:pPr>
              <w:spacing w:after="120"/>
              <w:rPr>
                <w:color w:val="002060"/>
              </w:rPr>
            </w:pPr>
            <w:r w:rsidRPr="00C6798C">
              <w:rPr>
                <w:color w:val="002060"/>
              </w:rPr>
              <w:t>Do you consider that the maximum limit in Classes 18B and 22A of five residential units per agricultural unit or forestry building should be changed? Please explain your answer including (if appropriate) how you consider the limit should change.</w:t>
            </w:r>
          </w:p>
        </w:tc>
        <w:tc>
          <w:tcPr>
            <w:tcW w:w="4961" w:type="dxa"/>
            <w:shd w:val="clear" w:color="auto" w:fill="F2F2F2" w:themeFill="background1" w:themeFillShade="F2"/>
          </w:tcPr>
          <w:p w14:paraId="354DE63A" w14:textId="77777777" w:rsidR="00C6798C" w:rsidRPr="00C6798C" w:rsidRDefault="00C6798C" w:rsidP="00C6798C">
            <w:pPr>
              <w:rPr>
                <w:color w:val="002060"/>
              </w:rPr>
            </w:pPr>
          </w:p>
        </w:tc>
      </w:tr>
      <w:tr w:rsidR="00C6798C" w:rsidRPr="00C6798C" w14:paraId="7EFAFCE2" w14:textId="77777777" w:rsidTr="487F21E4">
        <w:trPr>
          <w:jc w:val="center"/>
        </w:trPr>
        <w:tc>
          <w:tcPr>
            <w:tcW w:w="452" w:type="dxa"/>
            <w:shd w:val="clear" w:color="auto" w:fill="F2F2F2" w:themeFill="background1" w:themeFillShade="F2"/>
            <w:vAlign w:val="center"/>
          </w:tcPr>
          <w:p w14:paraId="2487BBF4" w14:textId="48058A70" w:rsidR="00C6798C" w:rsidRPr="00C6798C" w:rsidRDefault="00C6798C" w:rsidP="00C6798C">
            <w:pPr>
              <w:rPr>
                <w:color w:val="002060"/>
              </w:rPr>
            </w:pPr>
            <w:r>
              <w:rPr>
                <w:color w:val="002060"/>
              </w:rPr>
              <w:lastRenderedPageBreak/>
              <w:t>2</w:t>
            </w:r>
          </w:p>
        </w:tc>
        <w:tc>
          <w:tcPr>
            <w:tcW w:w="4363" w:type="dxa"/>
            <w:shd w:val="clear" w:color="auto" w:fill="F2F2F2" w:themeFill="background1" w:themeFillShade="F2"/>
            <w:vAlign w:val="center"/>
          </w:tcPr>
          <w:p w14:paraId="1A65609B" w14:textId="729F928F" w:rsidR="00C6798C" w:rsidRPr="00C6798C" w:rsidRDefault="00C6798C" w:rsidP="00C6798C">
            <w:pPr>
              <w:spacing w:after="120"/>
              <w:rPr>
                <w:color w:val="002060"/>
              </w:rPr>
            </w:pPr>
            <w:r w:rsidRPr="00C6798C">
              <w:rPr>
                <w:color w:val="002060"/>
              </w:rPr>
              <w:t>Do you believe the current floor space maximum of 150 square metres in Classes 18B and 22A should be removed or increased? Please explain how and why.</w:t>
            </w:r>
          </w:p>
        </w:tc>
        <w:tc>
          <w:tcPr>
            <w:tcW w:w="4961" w:type="dxa"/>
            <w:shd w:val="clear" w:color="auto" w:fill="F2F2F2" w:themeFill="background1" w:themeFillShade="F2"/>
          </w:tcPr>
          <w:p w14:paraId="3E37D534" w14:textId="77777777" w:rsidR="00C6798C" w:rsidRPr="00C6798C" w:rsidRDefault="00C6798C" w:rsidP="00C6798C">
            <w:pPr>
              <w:rPr>
                <w:color w:val="002060"/>
              </w:rPr>
            </w:pPr>
          </w:p>
        </w:tc>
      </w:tr>
      <w:tr w:rsidR="00C6798C" w:rsidRPr="00C6798C" w14:paraId="65827866" w14:textId="77777777" w:rsidTr="487F21E4">
        <w:trPr>
          <w:jc w:val="center"/>
        </w:trPr>
        <w:tc>
          <w:tcPr>
            <w:tcW w:w="452" w:type="dxa"/>
            <w:shd w:val="clear" w:color="auto" w:fill="F2F2F2" w:themeFill="background1" w:themeFillShade="F2"/>
            <w:vAlign w:val="center"/>
          </w:tcPr>
          <w:p w14:paraId="38EB86D1" w14:textId="6EC670F5" w:rsidR="00C6798C" w:rsidRPr="00C6798C" w:rsidRDefault="00C6798C" w:rsidP="00C6798C">
            <w:pPr>
              <w:rPr>
                <w:color w:val="002060"/>
              </w:rPr>
            </w:pPr>
            <w:r>
              <w:rPr>
                <w:color w:val="002060"/>
              </w:rPr>
              <w:t>3</w:t>
            </w:r>
          </w:p>
        </w:tc>
        <w:tc>
          <w:tcPr>
            <w:tcW w:w="4363" w:type="dxa"/>
            <w:shd w:val="clear" w:color="auto" w:fill="F2F2F2" w:themeFill="background1" w:themeFillShade="F2"/>
            <w:vAlign w:val="center"/>
          </w:tcPr>
          <w:p w14:paraId="7DC477DD" w14:textId="4DE84E54" w:rsidR="00C6798C" w:rsidRPr="00C6798C" w:rsidRDefault="00C6798C" w:rsidP="00C6798C">
            <w:pPr>
              <w:spacing w:after="120"/>
              <w:rPr>
                <w:color w:val="002060"/>
              </w:rPr>
            </w:pPr>
            <w:r w:rsidRPr="00C6798C">
              <w:rPr>
                <w:color w:val="002060"/>
              </w:rPr>
              <w:t>Do you believe that small extensions and/or separate buildings should be allowed as part of the conversion of an agricultural or forestry building to residential use under PDR? </w:t>
            </w:r>
          </w:p>
        </w:tc>
        <w:tc>
          <w:tcPr>
            <w:tcW w:w="4961" w:type="dxa"/>
            <w:shd w:val="clear" w:color="auto" w:fill="F2F2F2" w:themeFill="background1" w:themeFillShade="F2"/>
          </w:tcPr>
          <w:p w14:paraId="75374C99" w14:textId="77777777" w:rsidR="00C6798C" w:rsidRPr="00C6798C" w:rsidRDefault="00C6798C" w:rsidP="00C6798C">
            <w:pPr>
              <w:rPr>
                <w:color w:val="002060"/>
              </w:rPr>
            </w:pPr>
          </w:p>
        </w:tc>
      </w:tr>
      <w:tr w:rsidR="00C6798C" w:rsidRPr="00C6798C" w14:paraId="3B27AF60" w14:textId="77777777" w:rsidTr="487F21E4">
        <w:trPr>
          <w:jc w:val="center"/>
        </w:trPr>
        <w:tc>
          <w:tcPr>
            <w:tcW w:w="452" w:type="dxa"/>
            <w:shd w:val="clear" w:color="auto" w:fill="F2F2F2" w:themeFill="background1" w:themeFillShade="F2"/>
            <w:vAlign w:val="center"/>
          </w:tcPr>
          <w:p w14:paraId="1283C7A2" w14:textId="6411D8EF" w:rsidR="00C6798C" w:rsidRPr="00C6798C" w:rsidRDefault="00C6798C" w:rsidP="00C6798C">
            <w:pPr>
              <w:rPr>
                <w:color w:val="002060"/>
              </w:rPr>
            </w:pPr>
            <w:r>
              <w:rPr>
                <w:color w:val="002060"/>
              </w:rPr>
              <w:t>4</w:t>
            </w:r>
          </w:p>
        </w:tc>
        <w:tc>
          <w:tcPr>
            <w:tcW w:w="4363" w:type="dxa"/>
            <w:shd w:val="clear" w:color="auto" w:fill="F2F2F2" w:themeFill="background1" w:themeFillShade="F2"/>
            <w:vAlign w:val="center"/>
          </w:tcPr>
          <w:p w14:paraId="5951D3C5" w14:textId="1BBC42A9" w:rsidR="00C6798C" w:rsidRPr="00C6798C" w:rsidRDefault="00C6798C" w:rsidP="00C6798C">
            <w:pPr>
              <w:spacing w:after="120"/>
              <w:rPr>
                <w:color w:val="002060"/>
              </w:rPr>
            </w:pPr>
            <w:r w:rsidRPr="00C6798C">
              <w:rPr>
                <w:color w:val="002060"/>
              </w:rPr>
              <w:t>Do you consider that any of the current location-based restrictions in relation to Classes 18B and 22A should be removed and if so, which? </w:t>
            </w:r>
          </w:p>
        </w:tc>
        <w:tc>
          <w:tcPr>
            <w:tcW w:w="4961" w:type="dxa"/>
            <w:shd w:val="clear" w:color="auto" w:fill="F2F2F2" w:themeFill="background1" w:themeFillShade="F2"/>
          </w:tcPr>
          <w:p w14:paraId="333609EE" w14:textId="77777777" w:rsidR="00C6798C" w:rsidRPr="00C6798C" w:rsidRDefault="00C6798C" w:rsidP="00C6798C">
            <w:pPr>
              <w:rPr>
                <w:color w:val="002060"/>
              </w:rPr>
            </w:pPr>
          </w:p>
        </w:tc>
      </w:tr>
      <w:tr w:rsidR="00C6798C" w:rsidRPr="00C6798C" w14:paraId="248AEC06" w14:textId="77777777" w:rsidTr="487F21E4">
        <w:trPr>
          <w:jc w:val="center"/>
        </w:trPr>
        <w:tc>
          <w:tcPr>
            <w:tcW w:w="452" w:type="dxa"/>
            <w:shd w:val="clear" w:color="auto" w:fill="F2F2F2" w:themeFill="background1" w:themeFillShade="F2"/>
            <w:vAlign w:val="center"/>
          </w:tcPr>
          <w:p w14:paraId="412BD782" w14:textId="20560E36" w:rsidR="00C6798C" w:rsidRPr="00C6798C" w:rsidRDefault="00C6798C" w:rsidP="00C6798C">
            <w:pPr>
              <w:rPr>
                <w:color w:val="002060"/>
              </w:rPr>
            </w:pPr>
            <w:r>
              <w:rPr>
                <w:color w:val="002060"/>
              </w:rPr>
              <w:t>5</w:t>
            </w:r>
          </w:p>
        </w:tc>
        <w:tc>
          <w:tcPr>
            <w:tcW w:w="4363" w:type="dxa"/>
            <w:shd w:val="clear" w:color="auto" w:fill="F2F2F2" w:themeFill="background1" w:themeFillShade="F2"/>
            <w:vAlign w:val="center"/>
          </w:tcPr>
          <w:p w14:paraId="7C7FCD63" w14:textId="206BE5AA" w:rsidR="00C6798C" w:rsidRPr="00C6798C" w:rsidRDefault="00C6798C" w:rsidP="00C6798C">
            <w:pPr>
              <w:spacing w:after="120"/>
              <w:rPr>
                <w:color w:val="002060"/>
              </w:rPr>
            </w:pPr>
            <w:r w:rsidRPr="00C6798C">
              <w:rPr>
                <w:color w:val="002060"/>
              </w:rPr>
              <w:t>Do you consider the prior notification and approval mechanism (including the relevant matters and fee) associated with Classes 18B and 22A should be changed? If so, how?</w:t>
            </w:r>
          </w:p>
        </w:tc>
        <w:tc>
          <w:tcPr>
            <w:tcW w:w="4961" w:type="dxa"/>
            <w:shd w:val="clear" w:color="auto" w:fill="F2F2F2" w:themeFill="background1" w:themeFillShade="F2"/>
          </w:tcPr>
          <w:p w14:paraId="4DF75529" w14:textId="77777777" w:rsidR="00C6798C" w:rsidRPr="00C6798C" w:rsidRDefault="00C6798C" w:rsidP="00C6798C">
            <w:pPr>
              <w:rPr>
                <w:color w:val="002060"/>
              </w:rPr>
            </w:pPr>
          </w:p>
        </w:tc>
      </w:tr>
      <w:tr w:rsidR="00C6798C" w:rsidRPr="00C6798C" w14:paraId="7EC62E1F" w14:textId="77777777" w:rsidTr="487F21E4">
        <w:trPr>
          <w:jc w:val="center"/>
        </w:trPr>
        <w:tc>
          <w:tcPr>
            <w:tcW w:w="452" w:type="dxa"/>
            <w:shd w:val="clear" w:color="auto" w:fill="F2F2F2" w:themeFill="background1" w:themeFillShade="F2"/>
            <w:vAlign w:val="center"/>
          </w:tcPr>
          <w:p w14:paraId="323A48E1" w14:textId="1F663C0D" w:rsidR="00C6798C" w:rsidRPr="00C6798C" w:rsidRDefault="00C6798C" w:rsidP="00C6798C">
            <w:pPr>
              <w:rPr>
                <w:color w:val="002060"/>
              </w:rPr>
            </w:pPr>
            <w:r>
              <w:rPr>
                <w:color w:val="002060"/>
              </w:rPr>
              <w:t>6</w:t>
            </w:r>
          </w:p>
        </w:tc>
        <w:tc>
          <w:tcPr>
            <w:tcW w:w="4363" w:type="dxa"/>
            <w:shd w:val="clear" w:color="auto" w:fill="F2F2F2" w:themeFill="background1" w:themeFillShade="F2"/>
            <w:vAlign w:val="center"/>
          </w:tcPr>
          <w:p w14:paraId="3D06423E" w14:textId="66567F80" w:rsidR="00C6798C" w:rsidRPr="00C6798C" w:rsidRDefault="00C6798C" w:rsidP="00C6798C">
            <w:pPr>
              <w:spacing w:after="120"/>
              <w:rPr>
                <w:color w:val="002060"/>
              </w:rPr>
            </w:pPr>
            <w:r w:rsidRPr="00C6798C">
              <w:rPr>
                <w:color w:val="002060"/>
              </w:rPr>
              <w:t>Do you consider that PDR should allow the change of use of any other buildings or agricultural/forestry land to residential? If so, to which type(s) of building should the PDR be extended and why? </w:t>
            </w:r>
          </w:p>
        </w:tc>
        <w:tc>
          <w:tcPr>
            <w:tcW w:w="4961" w:type="dxa"/>
            <w:shd w:val="clear" w:color="auto" w:fill="F2F2F2" w:themeFill="background1" w:themeFillShade="F2"/>
          </w:tcPr>
          <w:p w14:paraId="342807F6" w14:textId="77777777" w:rsidR="00C6798C" w:rsidRPr="00C6798C" w:rsidRDefault="00C6798C" w:rsidP="00C6798C">
            <w:pPr>
              <w:rPr>
                <w:color w:val="002060"/>
              </w:rPr>
            </w:pPr>
          </w:p>
        </w:tc>
      </w:tr>
      <w:tr w:rsidR="00C6798C" w:rsidRPr="00C6798C" w14:paraId="0416C18E" w14:textId="77777777" w:rsidTr="487F21E4">
        <w:trPr>
          <w:jc w:val="center"/>
        </w:trPr>
        <w:tc>
          <w:tcPr>
            <w:tcW w:w="452" w:type="dxa"/>
            <w:shd w:val="clear" w:color="auto" w:fill="F2F2F2" w:themeFill="background1" w:themeFillShade="F2"/>
            <w:vAlign w:val="center"/>
          </w:tcPr>
          <w:p w14:paraId="1045398F" w14:textId="034B0CCE" w:rsidR="00C6798C" w:rsidRPr="00C6798C" w:rsidRDefault="00C6798C" w:rsidP="00C6798C">
            <w:pPr>
              <w:rPr>
                <w:color w:val="002060"/>
              </w:rPr>
            </w:pPr>
            <w:r>
              <w:rPr>
                <w:color w:val="002060"/>
              </w:rPr>
              <w:t>7</w:t>
            </w:r>
          </w:p>
        </w:tc>
        <w:tc>
          <w:tcPr>
            <w:tcW w:w="4363" w:type="dxa"/>
            <w:shd w:val="clear" w:color="auto" w:fill="F2F2F2" w:themeFill="background1" w:themeFillShade="F2"/>
            <w:vAlign w:val="center"/>
          </w:tcPr>
          <w:p w14:paraId="4D96B809" w14:textId="301A7D70" w:rsidR="00C6798C" w:rsidRPr="00C6798C" w:rsidRDefault="00C6798C" w:rsidP="00C6798C">
            <w:pPr>
              <w:spacing w:after="120"/>
              <w:rPr>
                <w:color w:val="002060"/>
              </w:rPr>
            </w:pPr>
            <w:r w:rsidRPr="00C6798C">
              <w:rPr>
                <w:color w:val="002060"/>
              </w:rPr>
              <w:t>Do you consider that the PDR under Classes 18B and 22A should be expanded or revised in any other way? </w:t>
            </w:r>
          </w:p>
        </w:tc>
        <w:tc>
          <w:tcPr>
            <w:tcW w:w="4961" w:type="dxa"/>
            <w:shd w:val="clear" w:color="auto" w:fill="F2F2F2" w:themeFill="background1" w:themeFillShade="F2"/>
          </w:tcPr>
          <w:p w14:paraId="2A1F0BDC" w14:textId="77777777" w:rsidR="00C6798C" w:rsidRPr="00C6798C" w:rsidRDefault="00C6798C" w:rsidP="00C6798C">
            <w:pPr>
              <w:rPr>
                <w:color w:val="002060"/>
              </w:rPr>
            </w:pPr>
          </w:p>
        </w:tc>
      </w:tr>
      <w:tr w:rsidR="00C6798C" w:rsidRPr="00C6798C" w14:paraId="42CA4A4F" w14:textId="77777777" w:rsidTr="487F21E4">
        <w:trPr>
          <w:jc w:val="center"/>
        </w:trPr>
        <w:tc>
          <w:tcPr>
            <w:tcW w:w="452" w:type="dxa"/>
            <w:shd w:val="clear" w:color="auto" w:fill="F2F2F2" w:themeFill="background1" w:themeFillShade="F2"/>
            <w:vAlign w:val="center"/>
          </w:tcPr>
          <w:p w14:paraId="6ECC9CCC" w14:textId="62A94D03" w:rsidR="00C6798C" w:rsidRPr="00C6798C" w:rsidRDefault="00C6798C" w:rsidP="00C6798C">
            <w:pPr>
              <w:rPr>
                <w:color w:val="002060"/>
              </w:rPr>
            </w:pPr>
            <w:r>
              <w:rPr>
                <w:color w:val="002060"/>
              </w:rPr>
              <w:t>8</w:t>
            </w:r>
          </w:p>
        </w:tc>
        <w:tc>
          <w:tcPr>
            <w:tcW w:w="4363" w:type="dxa"/>
            <w:shd w:val="clear" w:color="auto" w:fill="F2F2F2" w:themeFill="background1" w:themeFillShade="F2"/>
            <w:vAlign w:val="center"/>
          </w:tcPr>
          <w:p w14:paraId="54ED0E65" w14:textId="7136E983" w:rsidR="00C6798C" w:rsidRPr="00C6798C" w:rsidRDefault="00C6798C" w:rsidP="00C6798C">
            <w:pPr>
              <w:spacing w:after="120"/>
              <w:rPr>
                <w:color w:val="002060"/>
              </w:rPr>
            </w:pPr>
            <w:r w:rsidRPr="00C6798C">
              <w:rPr>
                <w:color w:val="002060"/>
              </w:rPr>
              <w:t>Do you believe that there should be new PDR for the replacement of agricultural and forestry buildings with new-build homes in particular circumstances? If so, in what circumstances? </w:t>
            </w:r>
          </w:p>
        </w:tc>
        <w:tc>
          <w:tcPr>
            <w:tcW w:w="4961" w:type="dxa"/>
            <w:shd w:val="clear" w:color="auto" w:fill="F2F2F2" w:themeFill="background1" w:themeFillShade="F2"/>
          </w:tcPr>
          <w:p w14:paraId="254E2ABD" w14:textId="77777777" w:rsidR="00C6798C" w:rsidRPr="00C6798C" w:rsidRDefault="00C6798C" w:rsidP="00C6798C">
            <w:pPr>
              <w:rPr>
                <w:color w:val="002060"/>
              </w:rPr>
            </w:pPr>
          </w:p>
        </w:tc>
      </w:tr>
      <w:tr w:rsidR="00C6798C" w:rsidRPr="00C6798C" w14:paraId="5DFA05B1" w14:textId="77777777" w:rsidTr="487F21E4">
        <w:trPr>
          <w:jc w:val="center"/>
        </w:trPr>
        <w:tc>
          <w:tcPr>
            <w:tcW w:w="452" w:type="dxa"/>
            <w:shd w:val="clear" w:color="auto" w:fill="F2F2F2" w:themeFill="background1" w:themeFillShade="F2"/>
            <w:vAlign w:val="center"/>
          </w:tcPr>
          <w:p w14:paraId="5FBF5F06" w14:textId="52BFAE5A" w:rsidR="00C6798C" w:rsidRPr="00C6798C" w:rsidRDefault="00C6798C" w:rsidP="00C6798C">
            <w:pPr>
              <w:rPr>
                <w:color w:val="002060"/>
              </w:rPr>
            </w:pPr>
            <w:r>
              <w:rPr>
                <w:color w:val="002060"/>
              </w:rPr>
              <w:t>9</w:t>
            </w:r>
          </w:p>
        </w:tc>
        <w:tc>
          <w:tcPr>
            <w:tcW w:w="4363" w:type="dxa"/>
            <w:shd w:val="clear" w:color="auto" w:fill="F2F2F2" w:themeFill="background1" w:themeFillShade="F2"/>
            <w:vAlign w:val="center"/>
          </w:tcPr>
          <w:p w14:paraId="24FA122A" w14:textId="13FC57C4" w:rsidR="00C6798C" w:rsidRPr="00C6798C" w:rsidRDefault="00C6798C" w:rsidP="00C6798C">
            <w:pPr>
              <w:spacing w:after="120"/>
              <w:rPr>
                <w:color w:val="002060"/>
              </w:rPr>
            </w:pPr>
            <w:r w:rsidRPr="00C6798C">
              <w:rPr>
                <w:color w:val="002060"/>
              </w:rPr>
              <w:t>Do you believe that there should be new PDR for new-build homes in any particular types of rural areas in particular circumstances? If so, in what type of rural areas and in what circumstances?</w:t>
            </w:r>
          </w:p>
        </w:tc>
        <w:tc>
          <w:tcPr>
            <w:tcW w:w="4961" w:type="dxa"/>
            <w:shd w:val="clear" w:color="auto" w:fill="F2F2F2" w:themeFill="background1" w:themeFillShade="F2"/>
          </w:tcPr>
          <w:p w14:paraId="2897ADFA" w14:textId="77777777" w:rsidR="00C6798C" w:rsidRPr="00C6798C" w:rsidRDefault="00C6798C" w:rsidP="00C6798C">
            <w:pPr>
              <w:rPr>
                <w:color w:val="002060"/>
              </w:rPr>
            </w:pPr>
          </w:p>
        </w:tc>
      </w:tr>
      <w:tr w:rsidR="00C6798C" w:rsidRPr="00C6798C" w14:paraId="0EAD2F60" w14:textId="77777777" w:rsidTr="487F21E4">
        <w:trPr>
          <w:jc w:val="center"/>
        </w:trPr>
        <w:tc>
          <w:tcPr>
            <w:tcW w:w="452" w:type="dxa"/>
            <w:shd w:val="clear" w:color="auto" w:fill="F2F2F2" w:themeFill="background1" w:themeFillShade="F2"/>
            <w:vAlign w:val="center"/>
          </w:tcPr>
          <w:p w14:paraId="519A80DB" w14:textId="5FACCEB1" w:rsidR="00C6798C" w:rsidRPr="00C6798C" w:rsidRDefault="00C6798C" w:rsidP="00C6798C">
            <w:pPr>
              <w:rPr>
                <w:color w:val="002060"/>
              </w:rPr>
            </w:pPr>
            <w:r>
              <w:rPr>
                <w:color w:val="002060"/>
              </w:rPr>
              <w:t>10</w:t>
            </w:r>
          </w:p>
        </w:tc>
        <w:tc>
          <w:tcPr>
            <w:tcW w:w="4363" w:type="dxa"/>
            <w:shd w:val="clear" w:color="auto" w:fill="F2F2F2" w:themeFill="background1" w:themeFillShade="F2"/>
            <w:vAlign w:val="center"/>
          </w:tcPr>
          <w:p w14:paraId="2FD0B293" w14:textId="01E3FA0B" w:rsidR="00C6798C" w:rsidRPr="00C6798C" w:rsidRDefault="00C6798C" w:rsidP="00C6798C">
            <w:pPr>
              <w:spacing w:after="120"/>
              <w:rPr>
                <w:color w:val="002060"/>
              </w:rPr>
            </w:pPr>
            <w:r w:rsidRPr="00C6798C">
              <w:rPr>
                <w:color w:val="002060"/>
              </w:rPr>
              <w:t>Do you consider that proposals to convert the ground floor or entirety of buildings in town and city centres to residential use should benefit from PDR? </w:t>
            </w:r>
          </w:p>
        </w:tc>
        <w:tc>
          <w:tcPr>
            <w:tcW w:w="4961" w:type="dxa"/>
            <w:shd w:val="clear" w:color="auto" w:fill="F2F2F2" w:themeFill="background1" w:themeFillShade="F2"/>
          </w:tcPr>
          <w:p w14:paraId="745F7F8D" w14:textId="77777777" w:rsidR="00C6798C" w:rsidRPr="00C6798C" w:rsidRDefault="00C6798C" w:rsidP="00C6798C">
            <w:pPr>
              <w:rPr>
                <w:color w:val="002060"/>
              </w:rPr>
            </w:pPr>
          </w:p>
        </w:tc>
      </w:tr>
      <w:tr w:rsidR="00C6798C" w:rsidRPr="00C6798C" w14:paraId="761C97F1" w14:textId="77777777" w:rsidTr="487F21E4">
        <w:trPr>
          <w:jc w:val="center"/>
        </w:trPr>
        <w:tc>
          <w:tcPr>
            <w:tcW w:w="452" w:type="dxa"/>
            <w:shd w:val="clear" w:color="auto" w:fill="F2F2F2" w:themeFill="background1" w:themeFillShade="F2"/>
            <w:vAlign w:val="center"/>
          </w:tcPr>
          <w:p w14:paraId="68A0EEA9" w14:textId="786BE8D7" w:rsidR="00C6798C" w:rsidRPr="00C6798C" w:rsidRDefault="00C6798C" w:rsidP="00C6798C">
            <w:pPr>
              <w:rPr>
                <w:color w:val="002060"/>
              </w:rPr>
            </w:pPr>
            <w:r>
              <w:rPr>
                <w:color w:val="002060"/>
              </w:rPr>
              <w:t>11</w:t>
            </w:r>
          </w:p>
        </w:tc>
        <w:tc>
          <w:tcPr>
            <w:tcW w:w="4363" w:type="dxa"/>
            <w:shd w:val="clear" w:color="auto" w:fill="F2F2F2" w:themeFill="background1" w:themeFillShade="F2"/>
            <w:vAlign w:val="center"/>
          </w:tcPr>
          <w:p w14:paraId="3CA48489" w14:textId="0382589C" w:rsidR="00C6798C" w:rsidRPr="00C6798C" w:rsidRDefault="00C6798C" w:rsidP="00C6798C">
            <w:pPr>
              <w:spacing w:after="120"/>
              <w:rPr>
                <w:color w:val="002060"/>
              </w:rPr>
            </w:pPr>
            <w:r w:rsidRPr="00C6798C">
              <w:rPr>
                <w:color w:val="002060"/>
              </w:rPr>
              <w:t>Do you consider that there should be PDR for the change of use of properties above Use Class 1A premises to residential use? </w:t>
            </w:r>
          </w:p>
        </w:tc>
        <w:tc>
          <w:tcPr>
            <w:tcW w:w="4961" w:type="dxa"/>
            <w:shd w:val="clear" w:color="auto" w:fill="F2F2F2" w:themeFill="background1" w:themeFillShade="F2"/>
          </w:tcPr>
          <w:p w14:paraId="0E7D4068" w14:textId="77777777" w:rsidR="00C6798C" w:rsidRPr="00C6798C" w:rsidRDefault="00C6798C" w:rsidP="00C6798C">
            <w:pPr>
              <w:rPr>
                <w:color w:val="002060"/>
              </w:rPr>
            </w:pPr>
          </w:p>
        </w:tc>
      </w:tr>
      <w:tr w:rsidR="00C6798C" w:rsidRPr="00C6798C" w14:paraId="2C53592D" w14:textId="77777777" w:rsidTr="487F21E4">
        <w:trPr>
          <w:jc w:val="center"/>
        </w:trPr>
        <w:tc>
          <w:tcPr>
            <w:tcW w:w="452" w:type="dxa"/>
            <w:shd w:val="clear" w:color="auto" w:fill="F2F2F2" w:themeFill="background1" w:themeFillShade="F2"/>
            <w:vAlign w:val="center"/>
          </w:tcPr>
          <w:p w14:paraId="2BF2181D" w14:textId="44E2BD4C" w:rsidR="00C6798C" w:rsidRPr="00C6798C" w:rsidRDefault="00C6798C" w:rsidP="00C6798C">
            <w:pPr>
              <w:rPr>
                <w:color w:val="002060"/>
              </w:rPr>
            </w:pPr>
            <w:r>
              <w:rPr>
                <w:color w:val="002060"/>
              </w:rPr>
              <w:t>12</w:t>
            </w:r>
          </w:p>
        </w:tc>
        <w:tc>
          <w:tcPr>
            <w:tcW w:w="4363" w:type="dxa"/>
            <w:shd w:val="clear" w:color="auto" w:fill="F2F2F2" w:themeFill="background1" w:themeFillShade="F2"/>
            <w:vAlign w:val="center"/>
          </w:tcPr>
          <w:p w14:paraId="2FD0A160" w14:textId="5ED08793" w:rsidR="00C6798C" w:rsidRPr="00C6798C" w:rsidRDefault="00C6798C" w:rsidP="00C6798C">
            <w:pPr>
              <w:spacing w:after="120"/>
              <w:rPr>
                <w:color w:val="002060"/>
              </w:rPr>
            </w:pPr>
            <w:r w:rsidRPr="00C6798C">
              <w:rPr>
                <w:color w:val="002060"/>
              </w:rPr>
              <w:t xml:space="preserve">Do you have any comments about the prospect that the PDR would allow a </w:t>
            </w:r>
            <w:r w:rsidRPr="00C6798C">
              <w:rPr>
                <w:color w:val="002060"/>
              </w:rPr>
              <w:lastRenderedPageBreak/>
              <w:t>change of use to residential from any existing use? </w:t>
            </w:r>
          </w:p>
        </w:tc>
        <w:tc>
          <w:tcPr>
            <w:tcW w:w="4961" w:type="dxa"/>
            <w:shd w:val="clear" w:color="auto" w:fill="F2F2F2" w:themeFill="background1" w:themeFillShade="F2"/>
          </w:tcPr>
          <w:p w14:paraId="71CBA3AF" w14:textId="77777777" w:rsidR="00C6798C" w:rsidRPr="00C6798C" w:rsidRDefault="00C6798C" w:rsidP="00C6798C">
            <w:pPr>
              <w:rPr>
                <w:color w:val="002060"/>
              </w:rPr>
            </w:pPr>
          </w:p>
        </w:tc>
      </w:tr>
      <w:tr w:rsidR="00C6798C" w:rsidRPr="00C6798C" w14:paraId="45DB2DB5" w14:textId="77777777" w:rsidTr="487F21E4">
        <w:trPr>
          <w:jc w:val="center"/>
        </w:trPr>
        <w:tc>
          <w:tcPr>
            <w:tcW w:w="452" w:type="dxa"/>
            <w:shd w:val="clear" w:color="auto" w:fill="F2F2F2" w:themeFill="background1" w:themeFillShade="F2"/>
            <w:vAlign w:val="center"/>
          </w:tcPr>
          <w:p w14:paraId="22F21DC8" w14:textId="77C5E847" w:rsidR="00C6798C" w:rsidRPr="00C6798C" w:rsidRDefault="00C6798C" w:rsidP="00C6798C">
            <w:pPr>
              <w:rPr>
                <w:color w:val="002060"/>
              </w:rPr>
            </w:pPr>
            <w:r>
              <w:rPr>
                <w:color w:val="002060"/>
              </w:rPr>
              <w:t>13</w:t>
            </w:r>
          </w:p>
        </w:tc>
        <w:tc>
          <w:tcPr>
            <w:tcW w:w="4363" w:type="dxa"/>
            <w:shd w:val="clear" w:color="auto" w:fill="F2F2F2" w:themeFill="background1" w:themeFillShade="F2"/>
            <w:vAlign w:val="center"/>
          </w:tcPr>
          <w:p w14:paraId="1D08379E" w14:textId="4984D8D0" w:rsidR="00C6798C" w:rsidRPr="00C6798C" w:rsidRDefault="00C6798C" w:rsidP="00C6798C">
            <w:pPr>
              <w:spacing w:after="120"/>
              <w:rPr>
                <w:color w:val="002060"/>
              </w:rPr>
            </w:pPr>
            <w:r w:rsidRPr="00C6798C">
              <w:rPr>
                <w:color w:val="002060"/>
              </w:rPr>
              <w:t>Do you think PDR for the change of use of properties above Use Class 1A premises to residential use should include any limits on the minimum or maximum floorspace, size and/or number of residential units that can be formed? Please explain your answer and describe what you think the limits should be, if any.</w:t>
            </w:r>
          </w:p>
        </w:tc>
        <w:tc>
          <w:tcPr>
            <w:tcW w:w="4961" w:type="dxa"/>
            <w:shd w:val="clear" w:color="auto" w:fill="F2F2F2" w:themeFill="background1" w:themeFillShade="F2"/>
          </w:tcPr>
          <w:p w14:paraId="5F4A70ED" w14:textId="77777777" w:rsidR="00C6798C" w:rsidRPr="00C6798C" w:rsidRDefault="00C6798C" w:rsidP="00C6798C">
            <w:pPr>
              <w:rPr>
                <w:color w:val="002060"/>
              </w:rPr>
            </w:pPr>
          </w:p>
        </w:tc>
      </w:tr>
      <w:tr w:rsidR="00C6798C" w:rsidRPr="00C6798C" w14:paraId="39E2EC86" w14:textId="77777777" w:rsidTr="487F21E4">
        <w:trPr>
          <w:jc w:val="center"/>
        </w:trPr>
        <w:tc>
          <w:tcPr>
            <w:tcW w:w="452" w:type="dxa"/>
            <w:shd w:val="clear" w:color="auto" w:fill="F2F2F2" w:themeFill="background1" w:themeFillShade="F2"/>
            <w:vAlign w:val="center"/>
          </w:tcPr>
          <w:p w14:paraId="265AAFE3" w14:textId="593BC7E6" w:rsidR="00C6798C" w:rsidRPr="00C6798C" w:rsidRDefault="00C6798C" w:rsidP="00C6798C">
            <w:pPr>
              <w:rPr>
                <w:color w:val="002060"/>
              </w:rPr>
            </w:pPr>
            <w:r>
              <w:rPr>
                <w:color w:val="002060"/>
              </w:rPr>
              <w:t>14</w:t>
            </w:r>
          </w:p>
        </w:tc>
        <w:tc>
          <w:tcPr>
            <w:tcW w:w="4363" w:type="dxa"/>
            <w:shd w:val="clear" w:color="auto" w:fill="F2F2F2" w:themeFill="background1" w:themeFillShade="F2"/>
            <w:vAlign w:val="center"/>
          </w:tcPr>
          <w:p w14:paraId="098CD744" w14:textId="7E6CD836" w:rsidR="00C6798C" w:rsidRPr="00C6798C" w:rsidRDefault="00C6798C" w:rsidP="00C6798C">
            <w:pPr>
              <w:spacing w:after="120"/>
              <w:rPr>
                <w:color w:val="002060"/>
              </w:rPr>
            </w:pPr>
            <w:r w:rsidRPr="00C6798C">
              <w:rPr>
                <w:color w:val="002060"/>
              </w:rPr>
              <w:t>What other potential limits, restrictions and exclusions to such PDR should be considered? </w:t>
            </w:r>
          </w:p>
        </w:tc>
        <w:tc>
          <w:tcPr>
            <w:tcW w:w="4961" w:type="dxa"/>
            <w:shd w:val="clear" w:color="auto" w:fill="F2F2F2" w:themeFill="background1" w:themeFillShade="F2"/>
          </w:tcPr>
          <w:p w14:paraId="7B2AF416" w14:textId="77777777" w:rsidR="00C6798C" w:rsidRPr="00C6798C" w:rsidRDefault="00C6798C" w:rsidP="00C6798C">
            <w:pPr>
              <w:rPr>
                <w:color w:val="002060"/>
              </w:rPr>
            </w:pPr>
          </w:p>
        </w:tc>
      </w:tr>
      <w:tr w:rsidR="00C6798C" w:rsidRPr="00C6798C" w14:paraId="4283EB9E" w14:textId="77777777" w:rsidTr="487F21E4">
        <w:trPr>
          <w:jc w:val="center"/>
        </w:trPr>
        <w:tc>
          <w:tcPr>
            <w:tcW w:w="452" w:type="dxa"/>
            <w:shd w:val="clear" w:color="auto" w:fill="F2F2F2" w:themeFill="background1" w:themeFillShade="F2"/>
            <w:vAlign w:val="center"/>
          </w:tcPr>
          <w:p w14:paraId="0E82B127" w14:textId="6C4BDC59" w:rsidR="00C6798C" w:rsidRPr="00C6798C" w:rsidRDefault="00C6798C" w:rsidP="00C6798C">
            <w:pPr>
              <w:rPr>
                <w:color w:val="002060"/>
              </w:rPr>
            </w:pPr>
            <w:r>
              <w:rPr>
                <w:color w:val="002060"/>
              </w:rPr>
              <w:t>15</w:t>
            </w:r>
          </w:p>
        </w:tc>
        <w:tc>
          <w:tcPr>
            <w:tcW w:w="4363" w:type="dxa"/>
            <w:shd w:val="clear" w:color="auto" w:fill="F2F2F2" w:themeFill="background1" w:themeFillShade="F2"/>
            <w:vAlign w:val="center"/>
          </w:tcPr>
          <w:p w14:paraId="4F6A766C" w14:textId="6570A3CF" w:rsidR="00C6798C" w:rsidRPr="00C6798C" w:rsidRDefault="00C6798C" w:rsidP="00C6798C">
            <w:pPr>
              <w:spacing w:after="120"/>
              <w:rPr>
                <w:color w:val="002060"/>
              </w:rPr>
            </w:pPr>
            <w:r w:rsidRPr="00C6798C">
              <w:rPr>
                <w:color w:val="002060"/>
              </w:rPr>
              <w:t>Do you consider that a prior notification and approval mechanism should be required in respect of a PDR for ‘town centre living’ as discussed in the consultation?  If yes, what matters do you consider should potentially be subject to prior approval? </w:t>
            </w:r>
          </w:p>
        </w:tc>
        <w:tc>
          <w:tcPr>
            <w:tcW w:w="4961" w:type="dxa"/>
            <w:shd w:val="clear" w:color="auto" w:fill="F2F2F2" w:themeFill="background1" w:themeFillShade="F2"/>
          </w:tcPr>
          <w:p w14:paraId="424DECD8" w14:textId="77777777" w:rsidR="00C6798C" w:rsidRPr="00C6798C" w:rsidRDefault="00C6798C" w:rsidP="00C6798C">
            <w:pPr>
              <w:rPr>
                <w:color w:val="002060"/>
              </w:rPr>
            </w:pPr>
          </w:p>
        </w:tc>
      </w:tr>
      <w:tr w:rsidR="00C6798C" w:rsidRPr="00C6798C" w14:paraId="274AD4FF" w14:textId="77777777" w:rsidTr="487F21E4">
        <w:trPr>
          <w:jc w:val="center"/>
        </w:trPr>
        <w:tc>
          <w:tcPr>
            <w:tcW w:w="452" w:type="dxa"/>
            <w:shd w:val="clear" w:color="auto" w:fill="F2F2F2" w:themeFill="background1" w:themeFillShade="F2"/>
            <w:vAlign w:val="center"/>
          </w:tcPr>
          <w:p w14:paraId="23CDBAF6" w14:textId="6AABAA1D" w:rsidR="00C6798C" w:rsidRPr="00C6798C" w:rsidRDefault="00C6798C" w:rsidP="00C6798C">
            <w:pPr>
              <w:rPr>
                <w:color w:val="002060"/>
              </w:rPr>
            </w:pPr>
            <w:r>
              <w:rPr>
                <w:color w:val="002060"/>
              </w:rPr>
              <w:t>16</w:t>
            </w:r>
          </w:p>
        </w:tc>
        <w:tc>
          <w:tcPr>
            <w:tcW w:w="4363" w:type="dxa"/>
            <w:shd w:val="clear" w:color="auto" w:fill="F2F2F2" w:themeFill="background1" w:themeFillShade="F2"/>
            <w:vAlign w:val="center"/>
          </w:tcPr>
          <w:p w14:paraId="4C27619F" w14:textId="355135A6" w:rsidR="00C6798C" w:rsidRPr="00C6798C" w:rsidRDefault="00C6798C" w:rsidP="00C6798C">
            <w:pPr>
              <w:spacing w:after="120"/>
              <w:rPr>
                <w:color w:val="002060"/>
              </w:rPr>
            </w:pPr>
            <w:r w:rsidRPr="00C6798C">
              <w:rPr>
                <w:color w:val="002060"/>
              </w:rPr>
              <w:t>Should any such PDR (permitting the change of use of floors above Use Class 1A premises) also permit certain external alterations of a building to facilitate the conversion to residential use, if so what alterations? </w:t>
            </w:r>
          </w:p>
        </w:tc>
        <w:tc>
          <w:tcPr>
            <w:tcW w:w="4961" w:type="dxa"/>
            <w:shd w:val="clear" w:color="auto" w:fill="F2F2F2" w:themeFill="background1" w:themeFillShade="F2"/>
          </w:tcPr>
          <w:p w14:paraId="1DD8F565" w14:textId="77777777" w:rsidR="00C6798C" w:rsidRPr="00C6798C" w:rsidRDefault="00C6798C" w:rsidP="00C6798C">
            <w:pPr>
              <w:rPr>
                <w:color w:val="002060"/>
              </w:rPr>
            </w:pPr>
          </w:p>
        </w:tc>
      </w:tr>
      <w:tr w:rsidR="00C6798C" w:rsidRPr="00C6798C" w14:paraId="2A4D2787" w14:textId="77777777" w:rsidTr="487F21E4">
        <w:trPr>
          <w:jc w:val="center"/>
        </w:trPr>
        <w:tc>
          <w:tcPr>
            <w:tcW w:w="452" w:type="dxa"/>
            <w:shd w:val="clear" w:color="auto" w:fill="F2F2F2" w:themeFill="background1" w:themeFillShade="F2"/>
            <w:vAlign w:val="center"/>
          </w:tcPr>
          <w:p w14:paraId="21D9AB6B" w14:textId="4A7D0D4C" w:rsidR="00C6798C" w:rsidRPr="00C6798C" w:rsidRDefault="00C6798C" w:rsidP="00C6798C">
            <w:pPr>
              <w:rPr>
                <w:color w:val="002060"/>
              </w:rPr>
            </w:pPr>
            <w:r>
              <w:rPr>
                <w:color w:val="002060"/>
              </w:rPr>
              <w:t>17</w:t>
            </w:r>
          </w:p>
        </w:tc>
        <w:tc>
          <w:tcPr>
            <w:tcW w:w="4363" w:type="dxa"/>
            <w:shd w:val="clear" w:color="auto" w:fill="F2F2F2" w:themeFill="background1" w:themeFillShade="F2"/>
            <w:vAlign w:val="center"/>
          </w:tcPr>
          <w:p w14:paraId="0F88F190" w14:textId="56AA174A" w:rsidR="00C6798C" w:rsidRPr="00C6798C" w:rsidRDefault="00C6798C" w:rsidP="00C6798C">
            <w:pPr>
              <w:spacing w:after="120"/>
              <w:rPr>
                <w:color w:val="002060"/>
              </w:rPr>
            </w:pPr>
            <w:r w:rsidRPr="00C6798C">
              <w:rPr>
                <w:color w:val="002060"/>
              </w:rPr>
              <w:t>Please provide any other comments regarding the potential options to introduce PDR for ‘town centre living’ proposals as discussed in the consultation.</w:t>
            </w:r>
          </w:p>
        </w:tc>
        <w:tc>
          <w:tcPr>
            <w:tcW w:w="4961" w:type="dxa"/>
            <w:shd w:val="clear" w:color="auto" w:fill="F2F2F2" w:themeFill="background1" w:themeFillShade="F2"/>
          </w:tcPr>
          <w:p w14:paraId="13A7E01B" w14:textId="77777777" w:rsidR="00C6798C" w:rsidRPr="00C6798C" w:rsidRDefault="00C6798C" w:rsidP="00C6798C">
            <w:pPr>
              <w:rPr>
                <w:color w:val="002060"/>
              </w:rPr>
            </w:pPr>
          </w:p>
        </w:tc>
      </w:tr>
      <w:tr w:rsidR="00C6798C" w:rsidRPr="00C6798C" w14:paraId="0090B131" w14:textId="77777777" w:rsidTr="487F21E4">
        <w:trPr>
          <w:jc w:val="center"/>
        </w:trPr>
        <w:tc>
          <w:tcPr>
            <w:tcW w:w="452" w:type="dxa"/>
            <w:shd w:val="clear" w:color="auto" w:fill="F2F2F2" w:themeFill="background1" w:themeFillShade="F2"/>
            <w:vAlign w:val="center"/>
          </w:tcPr>
          <w:p w14:paraId="19B49C2A" w14:textId="2B8F7C48" w:rsidR="00C6798C" w:rsidRPr="00C6798C" w:rsidRDefault="00C6798C" w:rsidP="00C6798C">
            <w:pPr>
              <w:rPr>
                <w:color w:val="002060"/>
              </w:rPr>
            </w:pPr>
            <w:r>
              <w:rPr>
                <w:color w:val="002060"/>
              </w:rPr>
              <w:t>18</w:t>
            </w:r>
          </w:p>
        </w:tc>
        <w:tc>
          <w:tcPr>
            <w:tcW w:w="4363" w:type="dxa"/>
            <w:shd w:val="clear" w:color="auto" w:fill="F2F2F2" w:themeFill="background1" w:themeFillShade="F2"/>
            <w:vAlign w:val="center"/>
          </w:tcPr>
          <w:p w14:paraId="0A155669" w14:textId="3A73FFF7" w:rsidR="00C6798C" w:rsidRPr="00C6798C" w:rsidRDefault="00C6798C" w:rsidP="00C6798C">
            <w:pPr>
              <w:spacing w:after="120"/>
              <w:rPr>
                <w:color w:val="002060"/>
              </w:rPr>
            </w:pPr>
            <w:r w:rsidRPr="00C6798C">
              <w:rPr>
                <w:color w:val="002060"/>
              </w:rPr>
              <w:t>Do you consider that any expanded PDR for rural homes (described in chapter 2) should be subject to a condition prohibiting the use of the new units for short-term letting? </w:t>
            </w:r>
          </w:p>
        </w:tc>
        <w:tc>
          <w:tcPr>
            <w:tcW w:w="4961" w:type="dxa"/>
            <w:shd w:val="clear" w:color="auto" w:fill="F2F2F2" w:themeFill="background1" w:themeFillShade="F2"/>
          </w:tcPr>
          <w:p w14:paraId="6FA0A2C1" w14:textId="77777777" w:rsidR="00C6798C" w:rsidRPr="00C6798C" w:rsidRDefault="00C6798C" w:rsidP="00C6798C">
            <w:pPr>
              <w:rPr>
                <w:color w:val="002060"/>
              </w:rPr>
            </w:pPr>
          </w:p>
        </w:tc>
      </w:tr>
      <w:tr w:rsidR="00C6798C" w:rsidRPr="00C6798C" w14:paraId="3F257705" w14:textId="77777777" w:rsidTr="487F21E4">
        <w:trPr>
          <w:jc w:val="center"/>
        </w:trPr>
        <w:tc>
          <w:tcPr>
            <w:tcW w:w="452" w:type="dxa"/>
            <w:shd w:val="clear" w:color="auto" w:fill="F2F2F2" w:themeFill="background1" w:themeFillShade="F2"/>
            <w:vAlign w:val="center"/>
          </w:tcPr>
          <w:p w14:paraId="2D619899" w14:textId="4398C296" w:rsidR="00C6798C" w:rsidRPr="00C6798C" w:rsidRDefault="00C6798C" w:rsidP="00C6798C">
            <w:pPr>
              <w:rPr>
                <w:color w:val="002060"/>
              </w:rPr>
            </w:pPr>
            <w:r>
              <w:rPr>
                <w:color w:val="002060"/>
              </w:rPr>
              <w:t>19</w:t>
            </w:r>
          </w:p>
        </w:tc>
        <w:tc>
          <w:tcPr>
            <w:tcW w:w="4363" w:type="dxa"/>
            <w:shd w:val="clear" w:color="auto" w:fill="F2F2F2" w:themeFill="background1" w:themeFillShade="F2"/>
            <w:vAlign w:val="center"/>
          </w:tcPr>
          <w:p w14:paraId="00E97F5C" w14:textId="3A9FAD99" w:rsidR="00C6798C" w:rsidRPr="00C6798C" w:rsidRDefault="00C6798C" w:rsidP="00C6798C">
            <w:pPr>
              <w:spacing w:after="120"/>
              <w:rPr>
                <w:color w:val="002060"/>
              </w:rPr>
            </w:pPr>
            <w:r w:rsidRPr="00C6798C">
              <w:rPr>
                <w:color w:val="002060"/>
              </w:rPr>
              <w:t>Do you consider that any ‘town centre living’ PDR (described in chapter 3) should be subject to a condition prohibiting the use of the new units for short-term letting? </w:t>
            </w:r>
          </w:p>
        </w:tc>
        <w:tc>
          <w:tcPr>
            <w:tcW w:w="4961" w:type="dxa"/>
            <w:shd w:val="clear" w:color="auto" w:fill="F2F2F2" w:themeFill="background1" w:themeFillShade="F2"/>
          </w:tcPr>
          <w:p w14:paraId="18C7AC30" w14:textId="77777777" w:rsidR="00C6798C" w:rsidRPr="00C6798C" w:rsidRDefault="00C6798C" w:rsidP="00C6798C">
            <w:pPr>
              <w:rPr>
                <w:color w:val="002060"/>
              </w:rPr>
            </w:pPr>
          </w:p>
        </w:tc>
      </w:tr>
      <w:tr w:rsidR="00C6798C" w:rsidRPr="00C6798C" w14:paraId="381FCA27" w14:textId="77777777" w:rsidTr="487F21E4">
        <w:trPr>
          <w:jc w:val="center"/>
        </w:trPr>
        <w:tc>
          <w:tcPr>
            <w:tcW w:w="452" w:type="dxa"/>
            <w:shd w:val="clear" w:color="auto" w:fill="F2F2F2" w:themeFill="background1" w:themeFillShade="F2"/>
            <w:vAlign w:val="center"/>
          </w:tcPr>
          <w:p w14:paraId="5CB84CD4" w14:textId="39FACB13" w:rsidR="00C6798C" w:rsidRPr="00C6798C" w:rsidRDefault="00C6798C" w:rsidP="00C6798C">
            <w:pPr>
              <w:rPr>
                <w:color w:val="002060"/>
              </w:rPr>
            </w:pPr>
            <w:r>
              <w:rPr>
                <w:color w:val="002060"/>
              </w:rPr>
              <w:t>20</w:t>
            </w:r>
          </w:p>
        </w:tc>
        <w:tc>
          <w:tcPr>
            <w:tcW w:w="4363" w:type="dxa"/>
            <w:shd w:val="clear" w:color="auto" w:fill="F2F2F2" w:themeFill="background1" w:themeFillShade="F2"/>
            <w:vAlign w:val="center"/>
          </w:tcPr>
          <w:p w14:paraId="18D1389A" w14:textId="77777777" w:rsidR="00C6798C" w:rsidRDefault="00C6798C" w:rsidP="00C6798C">
            <w:pPr>
              <w:spacing w:after="120"/>
              <w:rPr>
                <w:color w:val="002060"/>
              </w:rPr>
            </w:pPr>
            <w:r w:rsidRPr="00C6798C">
              <w:rPr>
                <w:color w:val="002060"/>
              </w:rPr>
              <w:t>Do you consider that it would be appropriate to amend PDR for existing dwellinghouses, to allow homeowners to make better use of their existing properties? </w:t>
            </w:r>
          </w:p>
          <w:p w14:paraId="03AD481B" w14:textId="77777777" w:rsidR="00A40125" w:rsidRDefault="00A40125" w:rsidP="00C6798C">
            <w:pPr>
              <w:spacing w:after="120"/>
              <w:rPr>
                <w:color w:val="002060"/>
              </w:rPr>
            </w:pPr>
          </w:p>
          <w:p w14:paraId="751E944D" w14:textId="77777777" w:rsidR="00A40125" w:rsidRDefault="00A40125" w:rsidP="00C6798C">
            <w:pPr>
              <w:spacing w:after="120"/>
              <w:rPr>
                <w:color w:val="002060"/>
              </w:rPr>
            </w:pPr>
          </w:p>
          <w:p w14:paraId="0AA74A24" w14:textId="566DDD17" w:rsidR="00A40125" w:rsidRPr="00C6798C" w:rsidRDefault="00A40125" w:rsidP="00C6798C">
            <w:pPr>
              <w:spacing w:after="120"/>
              <w:rPr>
                <w:color w:val="002060"/>
              </w:rPr>
            </w:pPr>
          </w:p>
        </w:tc>
        <w:tc>
          <w:tcPr>
            <w:tcW w:w="4961" w:type="dxa"/>
            <w:shd w:val="clear" w:color="auto" w:fill="F2F2F2" w:themeFill="background1" w:themeFillShade="F2"/>
          </w:tcPr>
          <w:p w14:paraId="4ED40DBC" w14:textId="77777777" w:rsidR="00C6798C" w:rsidRPr="00C6798C" w:rsidRDefault="00C6798C" w:rsidP="00C6798C">
            <w:pPr>
              <w:rPr>
                <w:color w:val="002060"/>
              </w:rPr>
            </w:pPr>
          </w:p>
        </w:tc>
      </w:tr>
      <w:tr w:rsidR="00C6798C" w:rsidRPr="00C6798C" w14:paraId="02A2E787" w14:textId="77777777" w:rsidTr="487F21E4">
        <w:trPr>
          <w:jc w:val="center"/>
        </w:trPr>
        <w:tc>
          <w:tcPr>
            <w:tcW w:w="452" w:type="dxa"/>
            <w:shd w:val="clear" w:color="auto" w:fill="C1E4F5" w:themeFill="accent1" w:themeFillTint="33"/>
            <w:vAlign w:val="center"/>
          </w:tcPr>
          <w:p w14:paraId="2CF3FAB8" w14:textId="0E01E245" w:rsidR="00C6798C" w:rsidRPr="00C6798C" w:rsidRDefault="00C6798C" w:rsidP="00C6798C">
            <w:pPr>
              <w:rPr>
                <w:color w:val="002060"/>
              </w:rPr>
            </w:pPr>
            <w:r>
              <w:rPr>
                <w:color w:val="002060"/>
              </w:rPr>
              <w:lastRenderedPageBreak/>
              <w:t>21</w:t>
            </w:r>
          </w:p>
        </w:tc>
        <w:tc>
          <w:tcPr>
            <w:tcW w:w="4363" w:type="dxa"/>
            <w:shd w:val="clear" w:color="auto" w:fill="C1E4F5" w:themeFill="accent1" w:themeFillTint="33"/>
            <w:vAlign w:val="center"/>
          </w:tcPr>
          <w:p w14:paraId="4ECA5D17" w14:textId="654D6334" w:rsidR="00C6798C" w:rsidRPr="00C6798C" w:rsidRDefault="00C6798C" w:rsidP="00C6798C">
            <w:pPr>
              <w:spacing w:after="120"/>
              <w:rPr>
                <w:color w:val="002060"/>
              </w:rPr>
            </w:pPr>
            <w:r w:rsidRPr="00C6798C">
              <w:rPr>
                <w:color w:val="002060"/>
              </w:rPr>
              <w:t>Do you consider that the reference in the PDR for domestic air source heat pumps (ASHPs) should be revised to make it clear that the installation must comply with Microgeneration Certification Scheme (MCS) 020 a)? </w:t>
            </w:r>
          </w:p>
        </w:tc>
        <w:tc>
          <w:tcPr>
            <w:tcW w:w="4961" w:type="dxa"/>
            <w:shd w:val="clear" w:color="auto" w:fill="C1E4F5" w:themeFill="accent1" w:themeFillTint="33"/>
          </w:tcPr>
          <w:p w14:paraId="1607C8AA" w14:textId="578D2B50" w:rsidR="00A40125" w:rsidRPr="00A40125" w:rsidRDefault="00A40125" w:rsidP="00A40125">
            <w:pPr>
              <w:rPr>
                <w:color w:val="002060"/>
              </w:rPr>
            </w:pPr>
            <w:r w:rsidRPr="00A40125">
              <w:rPr>
                <w:color w:val="002060"/>
              </w:rPr>
              <w:t>The Scottish and Northern Ireland Plumbing Employers’ Federation (SNIPEF) supports the proposal to revise the PDR to make explicit reference to compliance with Microgeneration Certification Scheme (MCS) 020a.</w:t>
            </w:r>
          </w:p>
          <w:p w14:paraId="3D2384BD" w14:textId="77777777" w:rsidR="00A40125" w:rsidRPr="00A40125" w:rsidRDefault="00A40125" w:rsidP="00A40125">
            <w:pPr>
              <w:rPr>
                <w:color w:val="002060"/>
              </w:rPr>
            </w:pPr>
          </w:p>
          <w:p w14:paraId="4AC5A23E" w14:textId="77777777" w:rsidR="00A40125" w:rsidRDefault="00A40125" w:rsidP="00A40125">
            <w:pPr>
              <w:rPr>
                <w:color w:val="002060"/>
              </w:rPr>
            </w:pPr>
            <w:r w:rsidRPr="00A40125">
              <w:rPr>
                <w:color w:val="002060"/>
              </w:rPr>
              <w:t xml:space="preserve">Our members are directly involved in the installation of low-carbon heating technologies, and clarity in the regulatory framework is essential. </w:t>
            </w:r>
          </w:p>
          <w:p w14:paraId="3594DADB" w14:textId="77777777" w:rsidR="00A40125" w:rsidRDefault="00A40125" w:rsidP="00A40125">
            <w:pPr>
              <w:rPr>
                <w:color w:val="002060"/>
              </w:rPr>
            </w:pPr>
          </w:p>
          <w:p w14:paraId="6B2AA1F2" w14:textId="77777777" w:rsidR="00A40125" w:rsidRDefault="00A40125" w:rsidP="00A40125">
            <w:pPr>
              <w:rPr>
                <w:color w:val="002060"/>
              </w:rPr>
            </w:pPr>
            <w:r w:rsidRPr="00A40125">
              <w:rPr>
                <w:color w:val="002060"/>
              </w:rPr>
              <w:t xml:space="preserve">If different or conflicting standards were to apply, this would cause unnecessary confusion for installers, create uncertainty for consumers, and risk undermining confidence in the </w:t>
            </w:r>
            <w:r>
              <w:rPr>
                <w:color w:val="002060"/>
              </w:rPr>
              <w:t>profession</w:t>
            </w:r>
            <w:r w:rsidRPr="00A40125">
              <w:rPr>
                <w:color w:val="002060"/>
              </w:rPr>
              <w:t>.</w:t>
            </w:r>
          </w:p>
          <w:p w14:paraId="438EA61F" w14:textId="77777777" w:rsidR="00A40125" w:rsidRDefault="00A40125" w:rsidP="00A40125">
            <w:pPr>
              <w:rPr>
                <w:color w:val="002060"/>
              </w:rPr>
            </w:pPr>
          </w:p>
          <w:p w14:paraId="43A9DF20" w14:textId="0566030B" w:rsidR="00A40125" w:rsidRDefault="00A40125" w:rsidP="00A40125">
            <w:pPr>
              <w:rPr>
                <w:color w:val="002060"/>
              </w:rPr>
            </w:pPr>
            <w:r w:rsidRPr="00A40125">
              <w:rPr>
                <w:color w:val="002060"/>
              </w:rPr>
              <w:t>Consistency across the UK</w:t>
            </w:r>
            <w:r>
              <w:rPr>
                <w:color w:val="002060"/>
              </w:rPr>
              <w:t xml:space="preserve"> as a whole</w:t>
            </w:r>
            <w:r w:rsidRPr="00A40125">
              <w:rPr>
                <w:color w:val="002060"/>
              </w:rPr>
              <w:t xml:space="preserve"> in referencing MCS 020a provides a common benchmark that ensures quality, safety, and performance.</w:t>
            </w:r>
          </w:p>
          <w:p w14:paraId="5F7BDD00" w14:textId="77777777" w:rsidR="00A40125" w:rsidRPr="00A40125" w:rsidRDefault="00A40125" w:rsidP="00A40125">
            <w:pPr>
              <w:rPr>
                <w:color w:val="002060"/>
              </w:rPr>
            </w:pPr>
          </w:p>
          <w:p w14:paraId="17E4E2DA" w14:textId="77777777" w:rsidR="00C6798C" w:rsidRDefault="00A40125" w:rsidP="00A40125">
            <w:pPr>
              <w:rPr>
                <w:color w:val="002060"/>
              </w:rPr>
            </w:pPr>
            <w:r w:rsidRPr="00A40125">
              <w:rPr>
                <w:color w:val="002060"/>
              </w:rPr>
              <w:t xml:space="preserve">We are particularly concerned that any ambiguity or allowance for alternative standards </w:t>
            </w:r>
            <w:r>
              <w:rPr>
                <w:color w:val="002060"/>
              </w:rPr>
              <w:t xml:space="preserve">in Scotland </w:t>
            </w:r>
            <w:r w:rsidRPr="00A40125">
              <w:rPr>
                <w:color w:val="002060"/>
              </w:rPr>
              <w:t>could become a stumbling block for professional installers, adding administrative burden at a time when the</w:t>
            </w:r>
            <w:r>
              <w:rPr>
                <w:color w:val="002060"/>
              </w:rPr>
              <w:t xml:space="preserve"> profession</w:t>
            </w:r>
            <w:r w:rsidRPr="00A40125">
              <w:rPr>
                <w:color w:val="002060"/>
              </w:rPr>
              <w:t xml:space="preserve"> needs to accelerate deployment of heat pumps in line with Scotland’s decarbonisation and housing objectives.</w:t>
            </w:r>
          </w:p>
          <w:p w14:paraId="14E232B9" w14:textId="77777777" w:rsidR="00625FB7" w:rsidRDefault="00625FB7" w:rsidP="00A40125">
            <w:pPr>
              <w:rPr>
                <w:color w:val="002060"/>
              </w:rPr>
            </w:pPr>
          </w:p>
          <w:p w14:paraId="44621A97" w14:textId="07330368" w:rsidR="00F2166D" w:rsidRPr="00C6798C" w:rsidRDefault="00F2166D" w:rsidP="004F0FEF">
            <w:pPr>
              <w:rPr>
                <w:color w:val="002060"/>
              </w:rPr>
            </w:pPr>
          </w:p>
        </w:tc>
      </w:tr>
      <w:tr w:rsidR="00C6798C" w:rsidRPr="00C6798C" w14:paraId="41E0C1AF" w14:textId="77777777" w:rsidTr="487F21E4">
        <w:trPr>
          <w:jc w:val="center"/>
        </w:trPr>
        <w:tc>
          <w:tcPr>
            <w:tcW w:w="452" w:type="dxa"/>
            <w:shd w:val="clear" w:color="auto" w:fill="C1E4F5" w:themeFill="accent1" w:themeFillTint="33"/>
            <w:vAlign w:val="center"/>
          </w:tcPr>
          <w:p w14:paraId="69CEB371" w14:textId="353B1621" w:rsidR="00C6798C" w:rsidRPr="00C6798C" w:rsidRDefault="00C6798C" w:rsidP="00C6798C">
            <w:pPr>
              <w:rPr>
                <w:color w:val="002060"/>
              </w:rPr>
            </w:pPr>
            <w:r>
              <w:rPr>
                <w:color w:val="002060"/>
              </w:rPr>
              <w:t>22</w:t>
            </w:r>
          </w:p>
        </w:tc>
        <w:tc>
          <w:tcPr>
            <w:tcW w:w="4363" w:type="dxa"/>
            <w:shd w:val="clear" w:color="auto" w:fill="C1E4F5" w:themeFill="accent1" w:themeFillTint="33"/>
            <w:vAlign w:val="center"/>
          </w:tcPr>
          <w:p w14:paraId="376B6417" w14:textId="79521CF9" w:rsidR="00C6798C" w:rsidRPr="00C6798C" w:rsidRDefault="00C6798C" w:rsidP="00C6798C">
            <w:pPr>
              <w:spacing w:after="120"/>
              <w:rPr>
                <w:color w:val="002060"/>
              </w:rPr>
            </w:pPr>
            <w:r w:rsidRPr="00C6798C">
              <w:rPr>
                <w:color w:val="002060"/>
              </w:rPr>
              <w:t>Do you consider that ASHPs installed on domestic properties under PDR should be permitted to be used for heating and cooling but not solely cooling? </w:t>
            </w:r>
          </w:p>
        </w:tc>
        <w:tc>
          <w:tcPr>
            <w:tcW w:w="4961" w:type="dxa"/>
            <w:shd w:val="clear" w:color="auto" w:fill="C1E4F5" w:themeFill="accent1" w:themeFillTint="33"/>
          </w:tcPr>
          <w:p w14:paraId="495C00FF" w14:textId="77777777" w:rsidR="00377EC3" w:rsidRPr="00561EED" w:rsidRDefault="00377EC3" w:rsidP="00377EC3">
            <w:pPr>
              <w:rPr>
                <w:color w:val="002060"/>
              </w:rPr>
            </w:pPr>
            <w:r w:rsidRPr="00377EC3">
              <w:rPr>
                <w:color w:val="002060"/>
              </w:rPr>
              <w:t>The Scottish and Northern Ireland Plumbing Employers’ Federation (SNIPEF) agrees that ASHPs installed under PDR should be permitted for heating and cooling, but we do not support excluding cooling-only applications.</w:t>
            </w:r>
          </w:p>
          <w:p w14:paraId="101B3F12" w14:textId="77777777" w:rsidR="00377EC3" w:rsidRPr="00377EC3" w:rsidRDefault="00377EC3" w:rsidP="00377EC3">
            <w:pPr>
              <w:rPr>
                <w:color w:val="002060"/>
              </w:rPr>
            </w:pPr>
          </w:p>
          <w:p w14:paraId="7F4BD21E" w14:textId="2D20374A" w:rsidR="00377EC3" w:rsidRDefault="00803E36" w:rsidP="00377EC3">
            <w:pPr>
              <w:rPr>
                <w:color w:val="002060"/>
              </w:rPr>
            </w:pPr>
            <w:r>
              <w:rPr>
                <w:color w:val="002060"/>
              </w:rPr>
              <w:t>A</w:t>
            </w:r>
            <w:r w:rsidR="00377EC3" w:rsidRPr="00377EC3">
              <w:rPr>
                <w:color w:val="002060"/>
              </w:rPr>
              <w:t xml:space="preserve">llowing the installation of air-to-air heat pumps under PDR provides households with greater flexibility to decarbonise, particularly as part of a hybrid or transitional approach. </w:t>
            </w:r>
          </w:p>
          <w:p w14:paraId="2439862F" w14:textId="77777777" w:rsidR="00377EC3" w:rsidRDefault="00377EC3" w:rsidP="00377EC3">
            <w:pPr>
              <w:rPr>
                <w:color w:val="002060"/>
              </w:rPr>
            </w:pPr>
          </w:p>
          <w:p w14:paraId="3036F135" w14:textId="77777777" w:rsidR="00000331" w:rsidRDefault="00377EC3" w:rsidP="00377EC3">
            <w:pPr>
              <w:rPr>
                <w:color w:val="002060"/>
              </w:rPr>
            </w:pPr>
            <w:r w:rsidRPr="00377EC3">
              <w:rPr>
                <w:color w:val="002060"/>
              </w:rPr>
              <w:t>There are legitimate circumstances where a household may retain a fossil fuel boiler for heating while using an ASHP for cooling</w:t>
            </w:r>
            <w:r>
              <w:rPr>
                <w:color w:val="002060"/>
              </w:rPr>
              <w:t xml:space="preserve"> ie. i</w:t>
            </w:r>
            <w:r w:rsidRPr="00377EC3">
              <w:rPr>
                <w:color w:val="002060"/>
              </w:rPr>
              <w:t>n properties at risk of overheating, such as top-floor flats</w:t>
            </w:r>
            <w:r w:rsidR="00000331">
              <w:rPr>
                <w:color w:val="002060"/>
              </w:rPr>
              <w:t xml:space="preserve">. </w:t>
            </w:r>
          </w:p>
          <w:p w14:paraId="41324981" w14:textId="77777777" w:rsidR="00000331" w:rsidRDefault="00000331" w:rsidP="00377EC3">
            <w:pPr>
              <w:rPr>
                <w:color w:val="002060"/>
              </w:rPr>
            </w:pPr>
          </w:p>
          <w:p w14:paraId="33E685D8" w14:textId="510E4364" w:rsidR="00377EC3" w:rsidRDefault="1D49AC61" w:rsidP="00377EC3">
            <w:pPr>
              <w:rPr>
                <w:color w:val="002060"/>
              </w:rPr>
            </w:pPr>
            <w:r w:rsidRPr="487F21E4">
              <w:rPr>
                <w:color w:val="002060"/>
              </w:rPr>
              <w:t>Furthermore, efficient</w:t>
            </w:r>
            <w:r w:rsidR="00377EC3" w:rsidRPr="487F21E4">
              <w:rPr>
                <w:color w:val="002060"/>
              </w:rPr>
              <w:t xml:space="preserve"> cooling is increasingly important for health and comfort, and air-to-air ASHPs are typically far more efficient and lower emission than conventional </w:t>
            </w:r>
            <w:r w:rsidR="00000331" w:rsidRPr="487F21E4">
              <w:rPr>
                <w:color w:val="002060"/>
              </w:rPr>
              <w:t xml:space="preserve">or portable </w:t>
            </w:r>
            <w:r w:rsidR="00377EC3" w:rsidRPr="487F21E4">
              <w:rPr>
                <w:color w:val="002060"/>
              </w:rPr>
              <w:t xml:space="preserve">air </w:t>
            </w:r>
            <w:r w:rsidR="00377EC3" w:rsidRPr="487F21E4">
              <w:rPr>
                <w:color w:val="002060"/>
              </w:rPr>
              <w:lastRenderedPageBreak/>
              <w:t xml:space="preserve">conditioning units. </w:t>
            </w:r>
            <w:r w:rsidR="003661FA" w:rsidRPr="487F21E4">
              <w:rPr>
                <w:color w:val="002060"/>
              </w:rPr>
              <w:t>Allowing cooling-only ASHPs provides a more sustainable and energy-efficient alternative</w:t>
            </w:r>
            <w:r w:rsidR="002E3678" w:rsidRPr="487F21E4">
              <w:rPr>
                <w:color w:val="002060"/>
              </w:rPr>
              <w:t>.</w:t>
            </w:r>
          </w:p>
          <w:p w14:paraId="59DAA654" w14:textId="77777777" w:rsidR="00377EC3" w:rsidRDefault="00377EC3" w:rsidP="00377EC3">
            <w:pPr>
              <w:rPr>
                <w:color w:val="002060"/>
              </w:rPr>
            </w:pPr>
          </w:p>
          <w:p w14:paraId="162B2B4A" w14:textId="36B3998C" w:rsidR="00377EC3" w:rsidRPr="00377EC3" w:rsidRDefault="00377EC3" w:rsidP="00377EC3">
            <w:pPr>
              <w:rPr>
                <w:color w:val="002060"/>
              </w:rPr>
            </w:pPr>
            <w:r w:rsidRPr="00377EC3">
              <w:rPr>
                <w:color w:val="002060"/>
              </w:rPr>
              <w:t>It would</w:t>
            </w:r>
            <w:r w:rsidR="002E3678">
              <w:rPr>
                <w:color w:val="002060"/>
              </w:rPr>
              <w:t xml:space="preserve"> also</w:t>
            </w:r>
            <w:r w:rsidRPr="00377EC3">
              <w:rPr>
                <w:color w:val="002060"/>
              </w:rPr>
              <w:t xml:space="preserve"> support a phased decarbonisation pathway by encouraging early adoption of heat pump technology while keeping the door open for full heating conversion as building fabric improvements or wider low-carbon heat networks become available.</w:t>
            </w:r>
          </w:p>
          <w:p w14:paraId="16B870F6" w14:textId="77777777" w:rsidR="00EF27E2" w:rsidRDefault="00EF27E2" w:rsidP="00F2166D">
            <w:pPr>
              <w:rPr>
                <w:color w:val="002060"/>
              </w:rPr>
            </w:pPr>
          </w:p>
          <w:p w14:paraId="2DEB95DB" w14:textId="77777777" w:rsidR="00C6798C" w:rsidRPr="00F2166D" w:rsidRDefault="00C6798C" w:rsidP="004F0FEF">
            <w:pPr>
              <w:rPr>
                <w:color w:val="002060"/>
              </w:rPr>
            </w:pPr>
          </w:p>
        </w:tc>
      </w:tr>
      <w:tr w:rsidR="00C6798C" w:rsidRPr="00C6798C" w14:paraId="52CB97AF" w14:textId="77777777" w:rsidTr="487F21E4">
        <w:trPr>
          <w:jc w:val="center"/>
        </w:trPr>
        <w:tc>
          <w:tcPr>
            <w:tcW w:w="452" w:type="dxa"/>
            <w:shd w:val="clear" w:color="auto" w:fill="C1E4F5" w:themeFill="accent1" w:themeFillTint="33"/>
            <w:vAlign w:val="center"/>
          </w:tcPr>
          <w:p w14:paraId="1FD0D993" w14:textId="15ABC858" w:rsidR="00C6798C" w:rsidRPr="00C6798C" w:rsidRDefault="00C6798C" w:rsidP="00C6798C">
            <w:pPr>
              <w:rPr>
                <w:color w:val="002060"/>
              </w:rPr>
            </w:pPr>
            <w:r>
              <w:rPr>
                <w:color w:val="002060"/>
              </w:rPr>
              <w:lastRenderedPageBreak/>
              <w:t>23</w:t>
            </w:r>
          </w:p>
        </w:tc>
        <w:tc>
          <w:tcPr>
            <w:tcW w:w="4363" w:type="dxa"/>
            <w:shd w:val="clear" w:color="auto" w:fill="C1E4F5" w:themeFill="accent1" w:themeFillTint="33"/>
            <w:vAlign w:val="center"/>
          </w:tcPr>
          <w:p w14:paraId="27B21C99" w14:textId="741BCD53" w:rsidR="00C6798C" w:rsidRPr="00C6798C" w:rsidRDefault="00C6798C" w:rsidP="00C6798C">
            <w:pPr>
              <w:spacing w:after="120"/>
              <w:rPr>
                <w:color w:val="002060"/>
              </w:rPr>
            </w:pPr>
            <w:r w:rsidRPr="00C6798C">
              <w:rPr>
                <w:color w:val="002060"/>
              </w:rPr>
              <w:t>Do you consider that the PDR for domestic ASHPs in Scotland should be amended to allow for the installation of up to two ASHPs on a detached dwelling</w:t>
            </w:r>
            <w:r w:rsidR="00F2166D">
              <w:rPr>
                <w:color w:val="002060"/>
              </w:rPr>
              <w:t xml:space="preserve"> </w:t>
            </w:r>
            <w:r w:rsidRPr="00C6798C">
              <w:rPr>
                <w:color w:val="002060"/>
              </w:rPr>
              <w:t>house? </w:t>
            </w:r>
          </w:p>
        </w:tc>
        <w:tc>
          <w:tcPr>
            <w:tcW w:w="4961" w:type="dxa"/>
            <w:shd w:val="clear" w:color="auto" w:fill="C1E4F5" w:themeFill="accent1" w:themeFillTint="33"/>
          </w:tcPr>
          <w:p w14:paraId="15B02D2D" w14:textId="19AFF777" w:rsidR="00F2166D" w:rsidRDefault="00F2166D" w:rsidP="00F2166D">
            <w:pPr>
              <w:rPr>
                <w:color w:val="002060"/>
              </w:rPr>
            </w:pPr>
            <w:r w:rsidRPr="00F2166D">
              <w:rPr>
                <w:color w:val="002060"/>
              </w:rPr>
              <w:t>The Scottish and Northern Ireland Plumbing Employers’ Federation (SNIPEF) supports this proposal. Allowing up to two ASHPs on detached dwelling</w:t>
            </w:r>
            <w:r>
              <w:rPr>
                <w:color w:val="002060"/>
              </w:rPr>
              <w:t xml:space="preserve"> </w:t>
            </w:r>
            <w:r w:rsidRPr="00F2166D">
              <w:rPr>
                <w:color w:val="002060"/>
              </w:rPr>
              <w:t>houses under PDR is a sensible and practical step, and it is important that Scotland maintains continuity with installation standards across the UK.</w:t>
            </w:r>
          </w:p>
          <w:p w14:paraId="5A71EE3E" w14:textId="77777777" w:rsidR="00F2166D" w:rsidRPr="00F2166D" w:rsidRDefault="00F2166D" w:rsidP="00F2166D">
            <w:pPr>
              <w:rPr>
                <w:color w:val="002060"/>
              </w:rPr>
            </w:pPr>
          </w:p>
          <w:p w14:paraId="377ECB14" w14:textId="77777777" w:rsidR="00F2166D" w:rsidRDefault="00F2166D" w:rsidP="00F2166D">
            <w:pPr>
              <w:rPr>
                <w:color w:val="002060"/>
              </w:rPr>
            </w:pPr>
            <w:r w:rsidRPr="00F2166D">
              <w:rPr>
                <w:color w:val="002060"/>
              </w:rPr>
              <w:t xml:space="preserve">Consistency avoids confusion for installers and householders, simplifies training and certification requirements, and ensures a level regulatory environment for businesses operating across </w:t>
            </w:r>
            <w:r>
              <w:rPr>
                <w:color w:val="002060"/>
              </w:rPr>
              <w:t>the UK</w:t>
            </w:r>
            <w:r w:rsidRPr="00F2166D">
              <w:rPr>
                <w:color w:val="002060"/>
              </w:rPr>
              <w:t xml:space="preserve">. </w:t>
            </w:r>
          </w:p>
          <w:p w14:paraId="695BE4AF" w14:textId="77777777" w:rsidR="00F2166D" w:rsidRDefault="00F2166D" w:rsidP="00F2166D">
            <w:pPr>
              <w:rPr>
                <w:color w:val="002060"/>
              </w:rPr>
            </w:pPr>
          </w:p>
          <w:p w14:paraId="22C1CC8D" w14:textId="16417CC2" w:rsidR="00F2166D" w:rsidRDefault="00F2166D" w:rsidP="00F2166D">
            <w:pPr>
              <w:rPr>
                <w:color w:val="002060"/>
              </w:rPr>
            </w:pPr>
            <w:r w:rsidRPr="00F2166D">
              <w:rPr>
                <w:color w:val="002060"/>
              </w:rPr>
              <w:t>It also provides homeowners with greater flexibility to meet their heating and cooling needs, particularly in larger or more complex properties where a single unit may be insufficient.</w:t>
            </w:r>
          </w:p>
          <w:p w14:paraId="72BCF21D" w14:textId="77777777" w:rsidR="00F2166D" w:rsidRPr="00F2166D" w:rsidRDefault="00F2166D" w:rsidP="00F2166D">
            <w:pPr>
              <w:rPr>
                <w:color w:val="002060"/>
              </w:rPr>
            </w:pPr>
          </w:p>
          <w:p w14:paraId="7FD0EF59" w14:textId="77777777" w:rsidR="00F2166D" w:rsidRDefault="00F2166D" w:rsidP="00F2166D">
            <w:pPr>
              <w:rPr>
                <w:color w:val="002060"/>
              </w:rPr>
            </w:pPr>
            <w:r w:rsidRPr="00F2166D">
              <w:rPr>
                <w:color w:val="002060"/>
              </w:rPr>
              <w:t>This change would therefore support the growth of the low-carbon heating market, reduce administrative burdens, and align Scottish standards with best practice elsewhere in the UK.</w:t>
            </w:r>
          </w:p>
          <w:p w14:paraId="7F45E019" w14:textId="77777777" w:rsidR="00093DD7" w:rsidRDefault="00093DD7" w:rsidP="00F2166D">
            <w:pPr>
              <w:rPr>
                <w:color w:val="002060"/>
              </w:rPr>
            </w:pPr>
          </w:p>
          <w:p w14:paraId="76FFEA47" w14:textId="77777777" w:rsidR="00C6798C" w:rsidRPr="00C6798C" w:rsidRDefault="00C6798C" w:rsidP="003B5797">
            <w:pPr>
              <w:rPr>
                <w:color w:val="002060"/>
              </w:rPr>
            </w:pPr>
          </w:p>
        </w:tc>
      </w:tr>
      <w:tr w:rsidR="00C6798C" w:rsidRPr="00C6798C" w14:paraId="1FD1FAF3" w14:textId="77777777" w:rsidTr="487F21E4">
        <w:trPr>
          <w:jc w:val="center"/>
        </w:trPr>
        <w:tc>
          <w:tcPr>
            <w:tcW w:w="452" w:type="dxa"/>
            <w:shd w:val="clear" w:color="auto" w:fill="C1E4F5" w:themeFill="accent1" w:themeFillTint="33"/>
            <w:vAlign w:val="center"/>
          </w:tcPr>
          <w:p w14:paraId="31B40F9C" w14:textId="714A1E6A" w:rsidR="00C6798C" w:rsidRPr="00C6798C" w:rsidRDefault="00C6798C" w:rsidP="00C6798C">
            <w:pPr>
              <w:rPr>
                <w:color w:val="002060"/>
              </w:rPr>
            </w:pPr>
            <w:r>
              <w:rPr>
                <w:color w:val="002060"/>
              </w:rPr>
              <w:t>24</w:t>
            </w:r>
          </w:p>
        </w:tc>
        <w:tc>
          <w:tcPr>
            <w:tcW w:w="4363" w:type="dxa"/>
            <w:shd w:val="clear" w:color="auto" w:fill="C1E4F5" w:themeFill="accent1" w:themeFillTint="33"/>
            <w:vAlign w:val="center"/>
          </w:tcPr>
          <w:p w14:paraId="5D13DADA" w14:textId="7A319196" w:rsidR="00C6798C" w:rsidRPr="00C6798C" w:rsidRDefault="00C6798C" w:rsidP="00C6798C">
            <w:pPr>
              <w:spacing w:after="120"/>
              <w:rPr>
                <w:color w:val="002060"/>
              </w:rPr>
            </w:pPr>
            <w:r w:rsidRPr="00C6798C">
              <w:rPr>
                <w:color w:val="002060"/>
              </w:rPr>
              <w:t>Do you consider that proposals that would result in more than one ASHP being installed on flatted buildings or on terraced or semi-detached properties should continue to be assessed on a case-by-case basis by planning authorities? </w:t>
            </w:r>
          </w:p>
        </w:tc>
        <w:tc>
          <w:tcPr>
            <w:tcW w:w="4961" w:type="dxa"/>
            <w:shd w:val="clear" w:color="auto" w:fill="C1E4F5" w:themeFill="accent1" w:themeFillTint="33"/>
          </w:tcPr>
          <w:p w14:paraId="41187408" w14:textId="77777777" w:rsidR="00561EED" w:rsidRDefault="00561EED" w:rsidP="00561EED">
            <w:pPr>
              <w:rPr>
                <w:color w:val="002060"/>
              </w:rPr>
            </w:pPr>
            <w:r w:rsidRPr="00561EED">
              <w:rPr>
                <w:color w:val="002060"/>
              </w:rPr>
              <w:t xml:space="preserve">The Scottish and Northern Ireland Plumbing Employers’ Federation (SNIPEF) agrees that it is appropriate for such proposals to continue to be assessed on a case-by-case basis. </w:t>
            </w:r>
          </w:p>
          <w:p w14:paraId="3B5B9BA1" w14:textId="77777777" w:rsidR="00561EED" w:rsidRDefault="00561EED" w:rsidP="00561EED">
            <w:pPr>
              <w:rPr>
                <w:color w:val="002060"/>
              </w:rPr>
            </w:pPr>
          </w:p>
          <w:p w14:paraId="5E4A6C74" w14:textId="446E353F" w:rsidR="00561EED" w:rsidRDefault="00561EED" w:rsidP="00561EED">
            <w:pPr>
              <w:rPr>
                <w:color w:val="002060"/>
              </w:rPr>
            </w:pPr>
            <w:r w:rsidRPr="00561EED">
              <w:rPr>
                <w:color w:val="002060"/>
              </w:rPr>
              <w:t>In these property types, units are typically located in close proximity to each other, which increases the potential for cumulative noise impacts and places greater constraints on available space for siting equipment. A flexible, case-specific approach allows planning authorities to take account of local circumstances, design solutions, and the interests of neighbouring residents, rather than applying a blanket rule.</w:t>
            </w:r>
          </w:p>
          <w:p w14:paraId="64844921" w14:textId="77777777" w:rsidR="00561EED" w:rsidRPr="00561EED" w:rsidRDefault="00561EED" w:rsidP="00561EED">
            <w:pPr>
              <w:rPr>
                <w:color w:val="002060"/>
              </w:rPr>
            </w:pPr>
          </w:p>
          <w:p w14:paraId="21FD8163" w14:textId="77777777" w:rsidR="00561EED" w:rsidRDefault="00561EED" w:rsidP="00561EED">
            <w:pPr>
              <w:rPr>
                <w:color w:val="002060"/>
              </w:rPr>
            </w:pPr>
            <w:r w:rsidRPr="00561EED">
              <w:rPr>
                <w:color w:val="002060"/>
              </w:rPr>
              <w:t xml:space="preserve">However, this process should not result in arduous or extended delays for applicants. Where developments involve a set of identical or near-identical buildings, such as a new housing development with multiple uniform blocks or units, it should not be necessary for each individual property to undergo a separate, full case-by-case assessment. </w:t>
            </w:r>
          </w:p>
          <w:p w14:paraId="2517480E" w14:textId="77777777" w:rsidR="00561EED" w:rsidRDefault="00561EED" w:rsidP="00561EED">
            <w:pPr>
              <w:rPr>
                <w:color w:val="002060"/>
              </w:rPr>
            </w:pPr>
          </w:p>
          <w:p w14:paraId="682F85C4" w14:textId="15597CD9" w:rsidR="00561EED" w:rsidRPr="00561EED" w:rsidRDefault="00561EED" w:rsidP="00561EED">
            <w:pPr>
              <w:rPr>
                <w:color w:val="002060"/>
              </w:rPr>
            </w:pPr>
            <w:r w:rsidRPr="00561EED">
              <w:rPr>
                <w:color w:val="002060"/>
              </w:rPr>
              <w:t>In such situations, planning authorities should be able to consider the development as a whole and apply a single decision across the site. This would reduce unnecessary administrative burdens, provide clarity for installers and developers, and speed up deployment while maintaining appropriate safeguards.</w:t>
            </w:r>
          </w:p>
          <w:p w14:paraId="610AA44F" w14:textId="72F3D73F" w:rsidR="00F2166D" w:rsidRPr="00F2166D" w:rsidRDefault="00F2166D" w:rsidP="00561EED">
            <w:pPr>
              <w:rPr>
                <w:color w:val="002060"/>
              </w:rPr>
            </w:pPr>
          </w:p>
          <w:p w14:paraId="00DEE931" w14:textId="77777777" w:rsidR="00C6798C" w:rsidRDefault="00C6798C" w:rsidP="00C6798C">
            <w:pPr>
              <w:rPr>
                <w:color w:val="002060"/>
              </w:rPr>
            </w:pPr>
          </w:p>
          <w:p w14:paraId="5DBFBD67" w14:textId="2424D9CD" w:rsidR="00693ABA" w:rsidRPr="00C6798C" w:rsidRDefault="00693ABA" w:rsidP="00E42467">
            <w:pPr>
              <w:rPr>
                <w:color w:val="002060"/>
              </w:rPr>
            </w:pPr>
          </w:p>
        </w:tc>
      </w:tr>
      <w:tr w:rsidR="00C6798C" w:rsidRPr="00C6798C" w14:paraId="39D40541" w14:textId="77777777" w:rsidTr="487F21E4">
        <w:trPr>
          <w:jc w:val="center"/>
        </w:trPr>
        <w:tc>
          <w:tcPr>
            <w:tcW w:w="452" w:type="dxa"/>
            <w:shd w:val="clear" w:color="auto" w:fill="C1E4F5" w:themeFill="accent1" w:themeFillTint="33"/>
            <w:vAlign w:val="center"/>
          </w:tcPr>
          <w:p w14:paraId="7AA0D711" w14:textId="48A7012D" w:rsidR="00C6798C" w:rsidRPr="00C6798C" w:rsidRDefault="00C6798C" w:rsidP="00C6798C">
            <w:pPr>
              <w:rPr>
                <w:color w:val="002060"/>
              </w:rPr>
            </w:pPr>
            <w:r>
              <w:rPr>
                <w:color w:val="002060"/>
              </w:rPr>
              <w:lastRenderedPageBreak/>
              <w:t>25</w:t>
            </w:r>
          </w:p>
        </w:tc>
        <w:tc>
          <w:tcPr>
            <w:tcW w:w="4363" w:type="dxa"/>
            <w:shd w:val="clear" w:color="auto" w:fill="C1E4F5" w:themeFill="accent1" w:themeFillTint="33"/>
            <w:vAlign w:val="center"/>
          </w:tcPr>
          <w:p w14:paraId="3D84DE69" w14:textId="49E4F39D" w:rsidR="00C6798C" w:rsidRPr="00C6798C" w:rsidRDefault="00C6798C" w:rsidP="00C6798C">
            <w:pPr>
              <w:spacing w:after="120"/>
              <w:rPr>
                <w:color w:val="002060"/>
              </w:rPr>
            </w:pPr>
            <w:r w:rsidRPr="00C6798C">
              <w:rPr>
                <w:color w:val="002060"/>
              </w:rPr>
              <w:t>Do you consider that any other changes should be made to the existing PDR for the installation of ASHPs in Scotland? </w:t>
            </w:r>
          </w:p>
        </w:tc>
        <w:tc>
          <w:tcPr>
            <w:tcW w:w="4961" w:type="dxa"/>
            <w:shd w:val="clear" w:color="auto" w:fill="C1E4F5" w:themeFill="accent1" w:themeFillTint="33"/>
          </w:tcPr>
          <w:p w14:paraId="5D5FB0C4" w14:textId="77777777" w:rsidR="00A13694" w:rsidRDefault="00A13694" w:rsidP="00A13694">
            <w:pPr>
              <w:rPr>
                <w:color w:val="002060"/>
              </w:rPr>
            </w:pPr>
            <w:r w:rsidRPr="00A13694">
              <w:rPr>
                <w:color w:val="002060"/>
              </w:rPr>
              <w:t xml:space="preserve">The Scottish and Northern Ireland Plumbing Employers’ Federation (SNIPEF) believes that any changes to PDR must prioritise installation by trained and certified professionals. </w:t>
            </w:r>
          </w:p>
          <w:p w14:paraId="024B7AEB" w14:textId="77777777" w:rsidR="00A13694" w:rsidRDefault="00A13694" w:rsidP="00A13694">
            <w:pPr>
              <w:rPr>
                <w:color w:val="002060"/>
              </w:rPr>
            </w:pPr>
          </w:p>
          <w:p w14:paraId="235011E6" w14:textId="77777777" w:rsidR="00A13694" w:rsidRDefault="00A13694" w:rsidP="00A13694">
            <w:pPr>
              <w:rPr>
                <w:color w:val="002060"/>
              </w:rPr>
            </w:pPr>
            <w:r w:rsidRPr="00A13694">
              <w:rPr>
                <w:color w:val="002060"/>
              </w:rPr>
              <w:t xml:space="preserve">Ensuring that only competent installers carry out this work is essential to guarantee quality, protect consumers, and build confidence in low-carbon heating technologies. </w:t>
            </w:r>
          </w:p>
          <w:p w14:paraId="031F2403" w14:textId="77777777" w:rsidR="00A13694" w:rsidRDefault="00A13694" w:rsidP="00A13694">
            <w:pPr>
              <w:rPr>
                <w:color w:val="002060"/>
              </w:rPr>
            </w:pPr>
          </w:p>
          <w:p w14:paraId="23AA6B69" w14:textId="77777777" w:rsidR="00C6798C" w:rsidRDefault="00A13694" w:rsidP="00A13694">
            <w:pPr>
              <w:rPr>
                <w:color w:val="002060"/>
              </w:rPr>
            </w:pPr>
            <w:r w:rsidRPr="00A13694">
              <w:rPr>
                <w:color w:val="002060"/>
              </w:rPr>
              <w:t>SNIPEF members</w:t>
            </w:r>
            <w:r>
              <w:rPr>
                <w:color w:val="002060"/>
              </w:rPr>
              <w:t>, as an example,</w:t>
            </w:r>
            <w:r w:rsidRPr="00A13694">
              <w:rPr>
                <w:color w:val="002060"/>
              </w:rPr>
              <w:t xml:space="preserve"> are well placed to deliver these installations to the highest standards, supporting both government objectives and public trust.</w:t>
            </w:r>
          </w:p>
          <w:p w14:paraId="54021875" w14:textId="77777777" w:rsidR="00A13694" w:rsidRDefault="00A13694" w:rsidP="00A13694">
            <w:pPr>
              <w:rPr>
                <w:color w:val="002060"/>
              </w:rPr>
            </w:pPr>
          </w:p>
          <w:p w14:paraId="2D553B63" w14:textId="4552C175" w:rsidR="00A13694" w:rsidRPr="00A13694" w:rsidRDefault="00A13694" w:rsidP="001A258A">
            <w:pPr>
              <w:rPr>
                <w:color w:val="002060"/>
              </w:rPr>
            </w:pPr>
          </w:p>
        </w:tc>
      </w:tr>
      <w:tr w:rsidR="00C6798C" w:rsidRPr="00C6798C" w14:paraId="7B2B827D" w14:textId="77777777" w:rsidTr="487F21E4">
        <w:trPr>
          <w:jc w:val="center"/>
        </w:trPr>
        <w:tc>
          <w:tcPr>
            <w:tcW w:w="452" w:type="dxa"/>
            <w:shd w:val="clear" w:color="auto" w:fill="C1E4F5" w:themeFill="accent1" w:themeFillTint="33"/>
            <w:vAlign w:val="center"/>
          </w:tcPr>
          <w:p w14:paraId="2BEF4432" w14:textId="509EB568" w:rsidR="00C6798C" w:rsidRPr="00C6798C" w:rsidRDefault="00C6798C" w:rsidP="00C6798C">
            <w:pPr>
              <w:rPr>
                <w:color w:val="002060"/>
              </w:rPr>
            </w:pPr>
            <w:r>
              <w:rPr>
                <w:color w:val="002060"/>
              </w:rPr>
              <w:t>26</w:t>
            </w:r>
          </w:p>
        </w:tc>
        <w:tc>
          <w:tcPr>
            <w:tcW w:w="4363" w:type="dxa"/>
            <w:shd w:val="clear" w:color="auto" w:fill="C1E4F5" w:themeFill="accent1" w:themeFillTint="33"/>
            <w:vAlign w:val="center"/>
          </w:tcPr>
          <w:p w14:paraId="5685F07B" w14:textId="3880F148" w:rsidR="00C6798C" w:rsidRPr="00C6798C" w:rsidRDefault="00C6798C" w:rsidP="00C6798C">
            <w:pPr>
              <w:spacing w:after="120"/>
              <w:rPr>
                <w:color w:val="002060"/>
              </w:rPr>
            </w:pPr>
            <w:r w:rsidRPr="00C6798C">
              <w:rPr>
                <w:color w:val="002060"/>
              </w:rPr>
              <w:t>Do you consider that it would be appropriate to have PDR for the installation (and subsequent repair and maintenance) of connections from individual buildings to heat networks? </w:t>
            </w:r>
          </w:p>
        </w:tc>
        <w:tc>
          <w:tcPr>
            <w:tcW w:w="4961" w:type="dxa"/>
            <w:shd w:val="clear" w:color="auto" w:fill="C1E4F5" w:themeFill="accent1" w:themeFillTint="33"/>
          </w:tcPr>
          <w:p w14:paraId="70EBDAB9" w14:textId="5ED33420" w:rsidR="000E4F2C" w:rsidRDefault="000E4F2C" w:rsidP="000E4F2C">
            <w:pPr>
              <w:rPr>
                <w:color w:val="002060"/>
              </w:rPr>
            </w:pPr>
            <w:r w:rsidRPr="000E4F2C">
              <w:rPr>
                <w:color w:val="002060"/>
              </w:rPr>
              <w:t>The Scottish and Northern Ireland Plumbing Employers’ Federation (SNIPEF) supports the introduction of PDR for the installation, repair, and maintenance of connections from individual buildings to heat networks.</w:t>
            </w:r>
          </w:p>
          <w:p w14:paraId="3D7F5D6B" w14:textId="77777777" w:rsidR="000E4F2C" w:rsidRPr="000E4F2C" w:rsidRDefault="000E4F2C" w:rsidP="000E4F2C">
            <w:pPr>
              <w:rPr>
                <w:color w:val="002060"/>
              </w:rPr>
            </w:pPr>
          </w:p>
          <w:p w14:paraId="7EC83E71" w14:textId="77777777" w:rsidR="000E4F2C" w:rsidRDefault="000E4F2C" w:rsidP="000E4F2C">
            <w:pPr>
              <w:rPr>
                <w:color w:val="002060"/>
              </w:rPr>
            </w:pPr>
            <w:r w:rsidRPr="000E4F2C">
              <w:rPr>
                <w:color w:val="002060"/>
              </w:rPr>
              <w:t xml:space="preserve">This change would provide communities with wider options for accessing low-carbon heating and support the growth of heat networks as an essential part of Scotland’s decarbonisation pathway. </w:t>
            </w:r>
          </w:p>
          <w:p w14:paraId="0A1E6866" w14:textId="77777777" w:rsidR="000E4F2C" w:rsidRDefault="000E4F2C" w:rsidP="000E4F2C">
            <w:pPr>
              <w:rPr>
                <w:color w:val="002060"/>
              </w:rPr>
            </w:pPr>
          </w:p>
          <w:p w14:paraId="2332F168" w14:textId="631079D2" w:rsidR="000E4F2C" w:rsidRDefault="000E4F2C" w:rsidP="000E4F2C">
            <w:pPr>
              <w:rPr>
                <w:color w:val="002060"/>
              </w:rPr>
            </w:pPr>
            <w:r w:rsidRPr="000E4F2C">
              <w:rPr>
                <w:color w:val="002060"/>
              </w:rPr>
              <w:t xml:space="preserve">By enabling connections to be made without unnecessary planning delays, householders and businesses will benefit from a more </w:t>
            </w:r>
            <w:r w:rsidRPr="000E4F2C">
              <w:rPr>
                <w:color w:val="002060"/>
              </w:rPr>
              <w:lastRenderedPageBreak/>
              <w:t>straightforward and cost-effective route to joining a heat network.</w:t>
            </w:r>
          </w:p>
          <w:p w14:paraId="719BF9A2" w14:textId="77777777" w:rsidR="000E4F2C" w:rsidRPr="000E4F2C" w:rsidRDefault="000E4F2C" w:rsidP="000E4F2C">
            <w:pPr>
              <w:rPr>
                <w:color w:val="002060"/>
              </w:rPr>
            </w:pPr>
          </w:p>
          <w:p w14:paraId="7463E28B" w14:textId="77777777" w:rsidR="000E4F2C" w:rsidRDefault="000E4F2C" w:rsidP="000E4F2C">
            <w:pPr>
              <w:rPr>
                <w:color w:val="002060"/>
              </w:rPr>
            </w:pPr>
            <w:r w:rsidRPr="000E4F2C">
              <w:rPr>
                <w:color w:val="002060"/>
              </w:rPr>
              <w:t>We also note the importance of aesthetic considerations. As these connections are typically installed underground, the visual impact is minimal. Ensuring that surfaces are restored after installation will allow the surrounding area to remain in keeping with its natural or built environment. This will help maintain public support for such developments and ensure that PDR is seen as enhancing, rather than detracting from, community surroundings.</w:t>
            </w:r>
          </w:p>
          <w:p w14:paraId="5AB3988E" w14:textId="77777777" w:rsidR="00106EF9" w:rsidRDefault="00106EF9" w:rsidP="000E4F2C">
            <w:pPr>
              <w:rPr>
                <w:color w:val="002060"/>
              </w:rPr>
            </w:pPr>
          </w:p>
          <w:p w14:paraId="6B67761F" w14:textId="77777777" w:rsidR="00C6798C" w:rsidRPr="00C6798C" w:rsidRDefault="00C6798C" w:rsidP="00CE439B">
            <w:pPr>
              <w:rPr>
                <w:color w:val="002060"/>
              </w:rPr>
            </w:pPr>
          </w:p>
        </w:tc>
      </w:tr>
      <w:tr w:rsidR="00C6798C" w:rsidRPr="00C6798C" w14:paraId="4E746712" w14:textId="77777777" w:rsidTr="487F21E4">
        <w:trPr>
          <w:jc w:val="center"/>
        </w:trPr>
        <w:tc>
          <w:tcPr>
            <w:tcW w:w="452" w:type="dxa"/>
            <w:shd w:val="clear" w:color="auto" w:fill="F2F2F2" w:themeFill="background1" w:themeFillShade="F2"/>
            <w:vAlign w:val="center"/>
          </w:tcPr>
          <w:p w14:paraId="53021D08" w14:textId="23FA9DEF" w:rsidR="00C6798C" w:rsidRPr="00C6798C" w:rsidRDefault="00C6798C" w:rsidP="00C6798C">
            <w:pPr>
              <w:rPr>
                <w:color w:val="002060"/>
              </w:rPr>
            </w:pPr>
            <w:r>
              <w:rPr>
                <w:color w:val="002060"/>
              </w:rPr>
              <w:lastRenderedPageBreak/>
              <w:t>27</w:t>
            </w:r>
          </w:p>
        </w:tc>
        <w:tc>
          <w:tcPr>
            <w:tcW w:w="4363" w:type="dxa"/>
            <w:shd w:val="clear" w:color="auto" w:fill="F2F2F2" w:themeFill="background1" w:themeFillShade="F2"/>
            <w:vAlign w:val="center"/>
          </w:tcPr>
          <w:p w14:paraId="5D8065F0" w14:textId="73A236B0" w:rsidR="00C6798C" w:rsidRPr="00C6798C" w:rsidRDefault="00C6798C" w:rsidP="00C6798C">
            <w:pPr>
              <w:spacing w:after="120"/>
              <w:rPr>
                <w:color w:val="002060"/>
              </w:rPr>
            </w:pPr>
            <w:r w:rsidRPr="00C6798C">
              <w:rPr>
                <w:color w:val="002060"/>
              </w:rPr>
              <w:t>What are your views on the accuracy and scope of the environmental baseline set out in the environmental report? </w:t>
            </w:r>
          </w:p>
        </w:tc>
        <w:tc>
          <w:tcPr>
            <w:tcW w:w="4961" w:type="dxa"/>
            <w:shd w:val="clear" w:color="auto" w:fill="F2F2F2" w:themeFill="background1" w:themeFillShade="F2"/>
          </w:tcPr>
          <w:p w14:paraId="21D39E80" w14:textId="77777777" w:rsidR="00C6798C" w:rsidRPr="00C6798C" w:rsidRDefault="00C6798C" w:rsidP="00C6798C">
            <w:pPr>
              <w:rPr>
                <w:color w:val="002060"/>
              </w:rPr>
            </w:pPr>
          </w:p>
        </w:tc>
      </w:tr>
      <w:tr w:rsidR="00C6798C" w:rsidRPr="00C6798C" w14:paraId="2790A5A0" w14:textId="77777777" w:rsidTr="487F21E4">
        <w:trPr>
          <w:jc w:val="center"/>
        </w:trPr>
        <w:tc>
          <w:tcPr>
            <w:tcW w:w="452" w:type="dxa"/>
            <w:shd w:val="clear" w:color="auto" w:fill="F2F2F2" w:themeFill="background1" w:themeFillShade="F2"/>
            <w:vAlign w:val="center"/>
          </w:tcPr>
          <w:p w14:paraId="6459EF57" w14:textId="5CF137D4" w:rsidR="00C6798C" w:rsidRPr="00C6798C" w:rsidRDefault="00C6798C" w:rsidP="00C6798C">
            <w:pPr>
              <w:rPr>
                <w:color w:val="002060"/>
              </w:rPr>
            </w:pPr>
            <w:r>
              <w:rPr>
                <w:color w:val="002060"/>
              </w:rPr>
              <w:t>28</w:t>
            </w:r>
          </w:p>
        </w:tc>
        <w:tc>
          <w:tcPr>
            <w:tcW w:w="4363" w:type="dxa"/>
            <w:shd w:val="clear" w:color="auto" w:fill="F2F2F2" w:themeFill="background1" w:themeFillShade="F2"/>
            <w:vAlign w:val="center"/>
          </w:tcPr>
          <w:p w14:paraId="1A71F7A2" w14:textId="6089A700" w:rsidR="00C6798C" w:rsidRPr="00C6798C" w:rsidRDefault="00C6798C" w:rsidP="00C6798C">
            <w:pPr>
              <w:spacing w:after="120"/>
              <w:rPr>
                <w:color w:val="002060"/>
              </w:rPr>
            </w:pPr>
            <w:r w:rsidRPr="00C6798C">
              <w:rPr>
                <w:color w:val="002060"/>
              </w:rPr>
              <w:t>What are your views on the predicted environmental effects of the proposals as set out in the environmental report? Please give details of any additional relevant sources.</w:t>
            </w:r>
          </w:p>
        </w:tc>
        <w:tc>
          <w:tcPr>
            <w:tcW w:w="4961" w:type="dxa"/>
            <w:shd w:val="clear" w:color="auto" w:fill="F2F2F2" w:themeFill="background1" w:themeFillShade="F2"/>
          </w:tcPr>
          <w:p w14:paraId="2135C9EF" w14:textId="77777777" w:rsidR="00C6798C" w:rsidRPr="00C6798C" w:rsidRDefault="00C6798C" w:rsidP="00C6798C">
            <w:pPr>
              <w:rPr>
                <w:color w:val="002060"/>
              </w:rPr>
            </w:pPr>
          </w:p>
        </w:tc>
      </w:tr>
      <w:tr w:rsidR="00C6798C" w:rsidRPr="00C6798C" w14:paraId="579AD1D0" w14:textId="77777777" w:rsidTr="487F21E4">
        <w:trPr>
          <w:jc w:val="center"/>
        </w:trPr>
        <w:tc>
          <w:tcPr>
            <w:tcW w:w="452" w:type="dxa"/>
            <w:shd w:val="clear" w:color="auto" w:fill="F2F2F2" w:themeFill="background1" w:themeFillShade="F2"/>
            <w:vAlign w:val="center"/>
          </w:tcPr>
          <w:p w14:paraId="507CF497" w14:textId="58D1F633" w:rsidR="00C6798C" w:rsidRPr="00C6798C" w:rsidRDefault="00C6798C" w:rsidP="00C6798C">
            <w:pPr>
              <w:rPr>
                <w:color w:val="002060"/>
              </w:rPr>
            </w:pPr>
            <w:r>
              <w:rPr>
                <w:color w:val="002060"/>
              </w:rPr>
              <w:t>29</w:t>
            </w:r>
          </w:p>
        </w:tc>
        <w:tc>
          <w:tcPr>
            <w:tcW w:w="4363" w:type="dxa"/>
            <w:shd w:val="clear" w:color="auto" w:fill="F2F2F2" w:themeFill="background1" w:themeFillShade="F2"/>
            <w:vAlign w:val="center"/>
          </w:tcPr>
          <w:p w14:paraId="2C697ED4" w14:textId="2CF79BA8" w:rsidR="00C6798C" w:rsidRPr="00C6798C" w:rsidRDefault="00C6798C" w:rsidP="00C6798C">
            <w:pPr>
              <w:spacing w:after="120"/>
              <w:rPr>
                <w:color w:val="002060"/>
              </w:rPr>
            </w:pPr>
            <w:r w:rsidRPr="00C6798C">
              <w:rPr>
                <w:color w:val="002060"/>
              </w:rPr>
              <w:t>What are your views on the assessment of alternatives as set out in the environmental report?</w:t>
            </w:r>
          </w:p>
        </w:tc>
        <w:tc>
          <w:tcPr>
            <w:tcW w:w="4961" w:type="dxa"/>
            <w:shd w:val="clear" w:color="auto" w:fill="F2F2F2" w:themeFill="background1" w:themeFillShade="F2"/>
          </w:tcPr>
          <w:p w14:paraId="663342E9" w14:textId="77777777" w:rsidR="00C6798C" w:rsidRPr="00C6798C" w:rsidRDefault="00C6798C" w:rsidP="00C6798C">
            <w:pPr>
              <w:rPr>
                <w:color w:val="002060"/>
              </w:rPr>
            </w:pPr>
          </w:p>
        </w:tc>
      </w:tr>
      <w:tr w:rsidR="00C6798C" w:rsidRPr="00C6798C" w14:paraId="06D8CBAB" w14:textId="77777777" w:rsidTr="487F21E4">
        <w:trPr>
          <w:jc w:val="center"/>
        </w:trPr>
        <w:tc>
          <w:tcPr>
            <w:tcW w:w="452" w:type="dxa"/>
            <w:shd w:val="clear" w:color="auto" w:fill="F2F2F2" w:themeFill="background1" w:themeFillShade="F2"/>
            <w:vAlign w:val="center"/>
          </w:tcPr>
          <w:p w14:paraId="37B457DD" w14:textId="4B027E81" w:rsidR="00C6798C" w:rsidRPr="00C6798C" w:rsidRDefault="00C6798C" w:rsidP="00C6798C">
            <w:pPr>
              <w:rPr>
                <w:color w:val="002060"/>
              </w:rPr>
            </w:pPr>
            <w:r>
              <w:rPr>
                <w:color w:val="002060"/>
              </w:rPr>
              <w:t>30</w:t>
            </w:r>
          </w:p>
        </w:tc>
        <w:tc>
          <w:tcPr>
            <w:tcW w:w="4363" w:type="dxa"/>
            <w:shd w:val="clear" w:color="auto" w:fill="F2F2F2" w:themeFill="background1" w:themeFillShade="F2"/>
            <w:vAlign w:val="center"/>
          </w:tcPr>
          <w:p w14:paraId="1420A857" w14:textId="09DED9BF" w:rsidR="00C6798C" w:rsidRPr="00C6798C" w:rsidRDefault="00C6798C" w:rsidP="00C6798C">
            <w:pPr>
              <w:spacing w:after="120"/>
              <w:rPr>
                <w:color w:val="002060"/>
              </w:rPr>
            </w:pPr>
            <w:r w:rsidRPr="00C6798C">
              <w:rPr>
                <w:color w:val="002060"/>
              </w:rPr>
              <w:t>What are your views on the proposals for mitigation, enhancement and monitoring of the environmental effects set out in the environmental report?</w:t>
            </w:r>
          </w:p>
        </w:tc>
        <w:tc>
          <w:tcPr>
            <w:tcW w:w="4961" w:type="dxa"/>
            <w:shd w:val="clear" w:color="auto" w:fill="F2F2F2" w:themeFill="background1" w:themeFillShade="F2"/>
          </w:tcPr>
          <w:p w14:paraId="43E6C322" w14:textId="77777777" w:rsidR="00C6798C" w:rsidRPr="00C6798C" w:rsidRDefault="00C6798C" w:rsidP="00C6798C">
            <w:pPr>
              <w:rPr>
                <w:color w:val="002060"/>
              </w:rPr>
            </w:pPr>
          </w:p>
        </w:tc>
      </w:tr>
      <w:tr w:rsidR="00C6798C" w:rsidRPr="00C6798C" w14:paraId="6D4AD347" w14:textId="77777777" w:rsidTr="487F21E4">
        <w:trPr>
          <w:jc w:val="center"/>
        </w:trPr>
        <w:tc>
          <w:tcPr>
            <w:tcW w:w="452" w:type="dxa"/>
            <w:shd w:val="clear" w:color="auto" w:fill="F2F2F2" w:themeFill="background1" w:themeFillShade="F2"/>
            <w:vAlign w:val="center"/>
          </w:tcPr>
          <w:p w14:paraId="189B9676" w14:textId="6A6BDA4D" w:rsidR="00C6798C" w:rsidRPr="00C6798C" w:rsidRDefault="00C6798C" w:rsidP="00C6798C">
            <w:pPr>
              <w:rPr>
                <w:color w:val="002060"/>
              </w:rPr>
            </w:pPr>
            <w:r>
              <w:rPr>
                <w:color w:val="002060"/>
              </w:rPr>
              <w:t>31</w:t>
            </w:r>
          </w:p>
        </w:tc>
        <w:tc>
          <w:tcPr>
            <w:tcW w:w="4363" w:type="dxa"/>
            <w:shd w:val="clear" w:color="auto" w:fill="F2F2F2" w:themeFill="background1" w:themeFillShade="F2"/>
            <w:vAlign w:val="center"/>
          </w:tcPr>
          <w:p w14:paraId="61D0C83F" w14:textId="39BC0257" w:rsidR="00C6798C" w:rsidRPr="00C6798C" w:rsidRDefault="00C6798C" w:rsidP="00C6798C">
            <w:pPr>
              <w:spacing w:after="120"/>
              <w:rPr>
                <w:color w:val="002060"/>
              </w:rPr>
            </w:pPr>
            <w:r w:rsidRPr="00C6798C">
              <w:rPr>
                <w:color w:val="002060"/>
              </w:rPr>
              <w:t>Please provide any comments on the partial Business and Regulatory Impact Assessment (BRIA) and information on the potential business or regulatory impacts of any of the options identified in this consultation. </w:t>
            </w:r>
          </w:p>
        </w:tc>
        <w:tc>
          <w:tcPr>
            <w:tcW w:w="4961" w:type="dxa"/>
            <w:shd w:val="clear" w:color="auto" w:fill="F2F2F2" w:themeFill="background1" w:themeFillShade="F2"/>
          </w:tcPr>
          <w:p w14:paraId="219F09E1" w14:textId="77777777" w:rsidR="00C6798C" w:rsidRPr="00C6798C" w:rsidRDefault="00C6798C" w:rsidP="00C6798C">
            <w:pPr>
              <w:rPr>
                <w:color w:val="002060"/>
              </w:rPr>
            </w:pPr>
          </w:p>
        </w:tc>
      </w:tr>
      <w:tr w:rsidR="00C6798C" w:rsidRPr="00C6798C" w14:paraId="02DC2C4A" w14:textId="77777777" w:rsidTr="487F21E4">
        <w:trPr>
          <w:jc w:val="center"/>
        </w:trPr>
        <w:tc>
          <w:tcPr>
            <w:tcW w:w="452" w:type="dxa"/>
            <w:shd w:val="clear" w:color="auto" w:fill="DAE9F7" w:themeFill="text2" w:themeFillTint="1A"/>
            <w:vAlign w:val="center"/>
          </w:tcPr>
          <w:p w14:paraId="146DA0ED" w14:textId="4563AA82" w:rsidR="00C6798C" w:rsidRPr="00C6798C" w:rsidRDefault="00C6798C" w:rsidP="00C6798C">
            <w:pPr>
              <w:rPr>
                <w:color w:val="002060"/>
              </w:rPr>
            </w:pPr>
            <w:r>
              <w:rPr>
                <w:color w:val="002060"/>
              </w:rPr>
              <w:t>32</w:t>
            </w:r>
          </w:p>
        </w:tc>
        <w:tc>
          <w:tcPr>
            <w:tcW w:w="4363" w:type="dxa"/>
            <w:shd w:val="clear" w:color="auto" w:fill="DAE9F7" w:themeFill="text2" w:themeFillTint="1A"/>
            <w:vAlign w:val="center"/>
          </w:tcPr>
          <w:p w14:paraId="2B2B0350" w14:textId="46A2A818" w:rsidR="00C6798C" w:rsidRPr="00C6798C" w:rsidRDefault="00C6798C" w:rsidP="00C6798C">
            <w:pPr>
              <w:spacing w:after="120"/>
              <w:rPr>
                <w:color w:val="002060"/>
              </w:rPr>
            </w:pPr>
            <w:r w:rsidRPr="00C6798C">
              <w:rPr>
                <w:color w:val="002060"/>
              </w:rPr>
              <w:t>Are you aware of any examples of how any of the options identified in this consultation may affect, either positively or negatively, those with protected characteristics? If yes, please provide further detail. </w:t>
            </w:r>
          </w:p>
        </w:tc>
        <w:tc>
          <w:tcPr>
            <w:tcW w:w="4961" w:type="dxa"/>
            <w:shd w:val="clear" w:color="auto" w:fill="DAE9F7" w:themeFill="text2" w:themeFillTint="1A"/>
          </w:tcPr>
          <w:p w14:paraId="43BBA36A" w14:textId="77777777" w:rsidR="00544D76" w:rsidRDefault="000172A7" w:rsidP="00C6798C">
            <w:pPr>
              <w:rPr>
                <w:color w:val="002060"/>
              </w:rPr>
            </w:pPr>
            <w:r w:rsidRPr="000172A7">
              <w:rPr>
                <w:color w:val="002060"/>
              </w:rPr>
              <w:t xml:space="preserve">The Scottish and Northern Ireland Plumbing Employers’ Federation is not aware of specific differential impacts on groups with protected characteristics. </w:t>
            </w:r>
          </w:p>
          <w:p w14:paraId="08846CE2" w14:textId="77777777" w:rsidR="00544D76" w:rsidRDefault="00544D76" w:rsidP="00C6798C">
            <w:pPr>
              <w:rPr>
                <w:color w:val="002060"/>
              </w:rPr>
            </w:pPr>
          </w:p>
          <w:p w14:paraId="0D1C90B2" w14:textId="77777777" w:rsidR="00C6798C" w:rsidRDefault="000172A7" w:rsidP="00C6798C">
            <w:pPr>
              <w:rPr>
                <w:color w:val="002060"/>
              </w:rPr>
            </w:pPr>
            <w:r w:rsidRPr="000172A7">
              <w:rPr>
                <w:color w:val="002060"/>
              </w:rPr>
              <w:t>However, improving access to affordable, efficient heating will have broad positive impacts, particularly for vulnerable groups.</w:t>
            </w:r>
          </w:p>
          <w:p w14:paraId="01FED326" w14:textId="77777777" w:rsidR="00A300A8" w:rsidRDefault="00A300A8" w:rsidP="00C6798C">
            <w:pPr>
              <w:rPr>
                <w:color w:val="002060"/>
              </w:rPr>
            </w:pPr>
          </w:p>
          <w:p w14:paraId="2C2AD939" w14:textId="1078E20B" w:rsidR="001D4B17" w:rsidRPr="00C6798C" w:rsidRDefault="001D4B17" w:rsidP="00750A05">
            <w:pPr>
              <w:rPr>
                <w:color w:val="002060"/>
              </w:rPr>
            </w:pPr>
          </w:p>
        </w:tc>
      </w:tr>
      <w:tr w:rsidR="00C6798C" w:rsidRPr="00C6798C" w14:paraId="1664C59C" w14:textId="77777777" w:rsidTr="487F21E4">
        <w:trPr>
          <w:jc w:val="center"/>
        </w:trPr>
        <w:tc>
          <w:tcPr>
            <w:tcW w:w="452" w:type="dxa"/>
            <w:shd w:val="clear" w:color="auto" w:fill="DAE9F7" w:themeFill="text2" w:themeFillTint="1A"/>
            <w:vAlign w:val="center"/>
          </w:tcPr>
          <w:p w14:paraId="7BECA09E" w14:textId="147278B5" w:rsidR="00C6798C" w:rsidRPr="00C6798C" w:rsidRDefault="00C6798C" w:rsidP="00C6798C">
            <w:pPr>
              <w:rPr>
                <w:color w:val="002060"/>
              </w:rPr>
            </w:pPr>
            <w:r>
              <w:rPr>
                <w:color w:val="002060"/>
              </w:rPr>
              <w:t>33</w:t>
            </w:r>
          </w:p>
        </w:tc>
        <w:tc>
          <w:tcPr>
            <w:tcW w:w="4363" w:type="dxa"/>
            <w:shd w:val="clear" w:color="auto" w:fill="DAE9F7" w:themeFill="text2" w:themeFillTint="1A"/>
            <w:vAlign w:val="center"/>
          </w:tcPr>
          <w:p w14:paraId="28105E73" w14:textId="4CBD2BBD" w:rsidR="00C6798C" w:rsidRPr="00C6798C" w:rsidRDefault="00C6798C" w:rsidP="00C6798C">
            <w:pPr>
              <w:spacing w:after="120"/>
              <w:rPr>
                <w:color w:val="002060"/>
              </w:rPr>
            </w:pPr>
            <w:r w:rsidRPr="00C6798C">
              <w:rPr>
                <w:color w:val="002060"/>
              </w:rPr>
              <w:t xml:space="preserve">Please provide any comments or information on the potential impacts on </w:t>
            </w:r>
            <w:r w:rsidRPr="00C6798C">
              <w:rPr>
                <w:color w:val="002060"/>
              </w:rPr>
              <w:lastRenderedPageBreak/>
              <w:t>children's rights and wellbeing of any of the options identified in this consultation.</w:t>
            </w:r>
          </w:p>
        </w:tc>
        <w:tc>
          <w:tcPr>
            <w:tcW w:w="4961" w:type="dxa"/>
            <w:shd w:val="clear" w:color="auto" w:fill="DAE9F7" w:themeFill="text2" w:themeFillTint="1A"/>
          </w:tcPr>
          <w:p w14:paraId="52AC0067" w14:textId="77777777" w:rsidR="00C6798C" w:rsidRDefault="00544D76" w:rsidP="00C6798C">
            <w:pPr>
              <w:rPr>
                <w:color w:val="002060"/>
              </w:rPr>
            </w:pPr>
            <w:r w:rsidRPr="000172A7">
              <w:rPr>
                <w:color w:val="002060"/>
              </w:rPr>
              <w:lastRenderedPageBreak/>
              <w:t xml:space="preserve">The Scottish and Northern Ireland Plumbing Employers’ Federation </w:t>
            </w:r>
            <w:r>
              <w:rPr>
                <w:color w:val="002060"/>
              </w:rPr>
              <w:t>believes i</w:t>
            </w:r>
            <w:r w:rsidRPr="00544D76">
              <w:rPr>
                <w:color w:val="002060"/>
              </w:rPr>
              <w:t xml:space="preserve">mproved heating efficiency and lower energy bills can reduce fuel </w:t>
            </w:r>
            <w:r w:rsidRPr="00544D76">
              <w:rPr>
                <w:color w:val="002060"/>
              </w:rPr>
              <w:lastRenderedPageBreak/>
              <w:t xml:space="preserve">poverty, leading to healthier living conditions for children. </w:t>
            </w:r>
          </w:p>
          <w:p w14:paraId="1E84957A" w14:textId="77777777" w:rsidR="00B76287" w:rsidRDefault="00B76287" w:rsidP="00C6798C">
            <w:pPr>
              <w:rPr>
                <w:color w:val="002060"/>
              </w:rPr>
            </w:pPr>
          </w:p>
          <w:p w14:paraId="17042DFB" w14:textId="7C94CDD8" w:rsidR="001D4B17" w:rsidRPr="00C6798C" w:rsidRDefault="001D4B17" w:rsidP="00A32838">
            <w:pPr>
              <w:rPr>
                <w:color w:val="002060"/>
              </w:rPr>
            </w:pPr>
          </w:p>
        </w:tc>
      </w:tr>
      <w:tr w:rsidR="00C6798C" w:rsidRPr="00C6798C" w14:paraId="3C029E91" w14:textId="77777777" w:rsidTr="487F21E4">
        <w:trPr>
          <w:jc w:val="center"/>
        </w:trPr>
        <w:tc>
          <w:tcPr>
            <w:tcW w:w="452" w:type="dxa"/>
            <w:shd w:val="clear" w:color="auto" w:fill="DAE9F7" w:themeFill="text2" w:themeFillTint="1A"/>
            <w:vAlign w:val="center"/>
          </w:tcPr>
          <w:p w14:paraId="44A765CE" w14:textId="29F802A6" w:rsidR="00C6798C" w:rsidRPr="00C6798C" w:rsidRDefault="00C6798C" w:rsidP="00C6798C">
            <w:pPr>
              <w:rPr>
                <w:color w:val="002060"/>
              </w:rPr>
            </w:pPr>
            <w:r>
              <w:rPr>
                <w:color w:val="002060"/>
              </w:rPr>
              <w:lastRenderedPageBreak/>
              <w:t>34</w:t>
            </w:r>
          </w:p>
        </w:tc>
        <w:tc>
          <w:tcPr>
            <w:tcW w:w="4363" w:type="dxa"/>
            <w:shd w:val="clear" w:color="auto" w:fill="DAE9F7" w:themeFill="text2" w:themeFillTint="1A"/>
            <w:vAlign w:val="center"/>
          </w:tcPr>
          <w:p w14:paraId="7B2C6F88" w14:textId="068D82E9" w:rsidR="00C6798C" w:rsidRPr="00C6798C" w:rsidRDefault="00C6798C" w:rsidP="00C6798C">
            <w:pPr>
              <w:spacing w:after="120"/>
              <w:rPr>
                <w:color w:val="002060"/>
              </w:rPr>
            </w:pPr>
            <w:r w:rsidRPr="00C6798C">
              <w:rPr>
                <w:color w:val="002060"/>
              </w:rPr>
              <w:t>Do you have any information or comments on the potential impacts on island communities of any of the options identified in this consultation? If yes, please provide further detail.</w:t>
            </w:r>
          </w:p>
        </w:tc>
        <w:tc>
          <w:tcPr>
            <w:tcW w:w="4961" w:type="dxa"/>
            <w:shd w:val="clear" w:color="auto" w:fill="DAE9F7" w:themeFill="text2" w:themeFillTint="1A"/>
          </w:tcPr>
          <w:p w14:paraId="284B45B4" w14:textId="119FDC78" w:rsidR="001D4B17" w:rsidRDefault="007F3FD5" w:rsidP="00C6798C">
            <w:pPr>
              <w:rPr>
                <w:color w:val="002060"/>
              </w:rPr>
            </w:pPr>
            <w:r w:rsidRPr="487F21E4">
              <w:rPr>
                <w:color w:val="002060"/>
              </w:rPr>
              <w:t xml:space="preserve">The Scottish and Northern Ireland Plumbing Employers’ Federation </w:t>
            </w:r>
            <w:r w:rsidR="6F88246D" w:rsidRPr="487F21E4">
              <w:rPr>
                <w:color w:val="002060"/>
              </w:rPr>
              <w:t>believes island</w:t>
            </w:r>
            <w:r w:rsidRPr="487F21E4">
              <w:rPr>
                <w:color w:val="002060"/>
              </w:rPr>
              <w:t xml:space="preserve"> communities may face higher installation and maintenance costs due to geography and supply chain challenges. </w:t>
            </w:r>
          </w:p>
          <w:p w14:paraId="0D1B3476" w14:textId="77777777" w:rsidR="001D4B17" w:rsidRDefault="001D4B17" w:rsidP="00C6798C">
            <w:pPr>
              <w:rPr>
                <w:color w:val="002060"/>
              </w:rPr>
            </w:pPr>
          </w:p>
          <w:p w14:paraId="674441F5" w14:textId="77777777" w:rsidR="00C6798C" w:rsidRDefault="007F3FD5" w:rsidP="00C6798C">
            <w:pPr>
              <w:rPr>
                <w:color w:val="002060"/>
              </w:rPr>
            </w:pPr>
            <w:r w:rsidRPr="007F3FD5">
              <w:rPr>
                <w:color w:val="002060"/>
              </w:rPr>
              <w:t>It is therefore important that PDR changes are supported by appropriate funding and training pathways to ensure access to qualified installers in all regions.</w:t>
            </w:r>
          </w:p>
          <w:p w14:paraId="72BF9D4E" w14:textId="6ABDC428" w:rsidR="001D4B17" w:rsidRPr="00C6798C" w:rsidRDefault="001D4B17" w:rsidP="00A32838">
            <w:pPr>
              <w:rPr>
                <w:color w:val="002060"/>
              </w:rPr>
            </w:pPr>
          </w:p>
        </w:tc>
      </w:tr>
      <w:tr w:rsidR="00C6798C" w:rsidRPr="00C6798C" w14:paraId="48C1D2D0" w14:textId="77777777" w:rsidTr="487F21E4">
        <w:trPr>
          <w:jc w:val="center"/>
        </w:trPr>
        <w:tc>
          <w:tcPr>
            <w:tcW w:w="452" w:type="dxa"/>
            <w:shd w:val="clear" w:color="auto" w:fill="DAE9F7" w:themeFill="text2" w:themeFillTint="1A"/>
            <w:vAlign w:val="center"/>
          </w:tcPr>
          <w:p w14:paraId="4CAEA22B" w14:textId="72A28EF3" w:rsidR="00C6798C" w:rsidRPr="00C6798C" w:rsidRDefault="00C6798C" w:rsidP="00C6798C">
            <w:pPr>
              <w:rPr>
                <w:color w:val="002060"/>
              </w:rPr>
            </w:pPr>
            <w:r>
              <w:rPr>
                <w:color w:val="002060"/>
              </w:rPr>
              <w:t>35</w:t>
            </w:r>
          </w:p>
        </w:tc>
        <w:tc>
          <w:tcPr>
            <w:tcW w:w="4363" w:type="dxa"/>
            <w:shd w:val="clear" w:color="auto" w:fill="DAE9F7" w:themeFill="text2" w:themeFillTint="1A"/>
            <w:vAlign w:val="center"/>
          </w:tcPr>
          <w:p w14:paraId="52E24C30" w14:textId="2A8A6BE7" w:rsidR="00C6798C" w:rsidRPr="00C6798C" w:rsidRDefault="00C6798C" w:rsidP="00C6798C">
            <w:pPr>
              <w:spacing w:after="120"/>
              <w:rPr>
                <w:color w:val="002060"/>
              </w:rPr>
            </w:pPr>
            <w:r w:rsidRPr="00C6798C">
              <w:rPr>
                <w:color w:val="002060"/>
              </w:rPr>
              <w:t>Are you aware of any examples of potential impacts, either positive or negative, that the options identified in this consultation may have on groups or areas at socio-economic disadvantage (such as income, low wealth or area deprivation)? If yes, please provide further detail.</w:t>
            </w:r>
          </w:p>
        </w:tc>
        <w:tc>
          <w:tcPr>
            <w:tcW w:w="4961" w:type="dxa"/>
            <w:shd w:val="clear" w:color="auto" w:fill="DAE9F7" w:themeFill="text2" w:themeFillTint="1A"/>
          </w:tcPr>
          <w:p w14:paraId="34943121" w14:textId="59E25C90" w:rsidR="00C6798C" w:rsidRDefault="001D4B17" w:rsidP="00C6798C">
            <w:pPr>
              <w:rPr>
                <w:color w:val="002060"/>
              </w:rPr>
            </w:pPr>
            <w:r w:rsidRPr="487F21E4">
              <w:rPr>
                <w:color w:val="002060"/>
              </w:rPr>
              <w:t xml:space="preserve">The Scottish and Northern Ireland Plumbing Employers’ Federation </w:t>
            </w:r>
            <w:r w:rsidR="006771A5" w:rsidRPr="487F21E4">
              <w:rPr>
                <w:color w:val="002060"/>
              </w:rPr>
              <w:t>believes these</w:t>
            </w:r>
            <w:r w:rsidRPr="487F21E4">
              <w:rPr>
                <w:color w:val="002060"/>
              </w:rPr>
              <w:t xml:space="preserve"> proposals could have positive impacts by lowering heating costs and tackling fuel poverty. Ensuring widespread access to qualified installers will be vital to achieving these benefits fairly.</w:t>
            </w:r>
          </w:p>
          <w:p w14:paraId="504A9CDB" w14:textId="77777777" w:rsidR="00366C21" w:rsidRDefault="00366C21" w:rsidP="00C6798C">
            <w:pPr>
              <w:rPr>
                <w:color w:val="002060"/>
              </w:rPr>
            </w:pPr>
          </w:p>
          <w:p w14:paraId="4E91C1BA" w14:textId="469E326C" w:rsidR="00366C21" w:rsidRPr="00C6798C" w:rsidRDefault="00366C21" w:rsidP="00C6798C">
            <w:pPr>
              <w:rPr>
                <w:color w:val="002060"/>
              </w:rPr>
            </w:pPr>
          </w:p>
        </w:tc>
      </w:tr>
      <w:tr w:rsidR="00C6798C" w:rsidRPr="00C6798C" w14:paraId="637604B3" w14:textId="77777777" w:rsidTr="487F21E4">
        <w:trPr>
          <w:jc w:val="center"/>
        </w:trPr>
        <w:tc>
          <w:tcPr>
            <w:tcW w:w="452" w:type="dxa"/>
            <w:shd w:val="clear" w:color="auto" w:fill="F2F2F2" w:themeFill="background1" w:themeFillShade="F2"/>
            <w:vAlign w:val="center"/>
          </w:tcPr>
          <w:p w14:paraId="518C33EC" w14:textId="270FA74B" w:rsidR="00C6798C" w:rsidRPr="00C6798C" w:rsidRDefault="00C6798C" w:rsidP="00C6798C">
            <w:pPr>
              <w:rPr>
                <w:color w:val="002060"/>
              </w:rPr>
            </w:pPr>
            <w:r>
              <w:rPr>
                <w:color w:val="002060"/>
              </w:rPr>
              <w:t>36</w:t>
            </w:r>
          </w:p>
        </w:tc>
        <w:tc>
          <w:tcPr>
            <w:tcW w:w="4363" w:type="dxa"/>
            <w:shd w:val="clear" w:color="auto" w:fill="F2F2F2" w:themeFill="background1" w:themeFillShade="F2"/>
            <w:vAlign w:val="center"/>
          </w:tcPr>
          <w:p w14:paraId="37B469EB" w14:textId="6152F204" w:rsidR="00C6798C" w:rsidRPr="00C6798C" w:rsidRDefault="00C6798C" w:rsidP="00C6798C">
            <w:pPr>
              <w:spacing w:after="120"/>
              <w:rPr>
                <w:color w:val="002060"/>
              </w:rPr>
            </w:pPr>
            <w:r w:rsidRPr="00C6798C">
              <w:rPr>
                <w:color w:val="002060"/>
              </w:rPr>
              <w:t>Do you agree that a Fairer Scotland Duty assessment is not required in relation to the options set out in this consultation?</w:t>
            </w:r>
          </w:p>
        </w:tc>
        <w:tc>
          <w:tcPr>
            <w:tcW w:w="4961" w:type="dxa"/>
            <w:shd w:val="clear" w:color="auto" w:fill="F2F2F2" w:themeFill="background1" w:themeFillShade="F2"/>
          </w:tcPr>
          <w:p w14:paraId="1F5037B6" w14:textId="0D4B0F90" w:rsidR="00C6798C" w:rsidRPr="00C6798C" w:rsidRDefault="00C6798C" w:rsidP="00C6798C">
            <w:pPr>
              <w:rPr>
                <w:color w:val="002060"/>
              </w:rPr>
            </w:pPr>
          </w:p>
        </w:tc>
      </w:tr>
    </w:tbl>
    <w:p w14:paraId="177E6205" w14:textId="77777777" w:rsidR="008A6762" w:rsidRDefault="008A6762">
      <w:pPr>
        <w:rPr>
          <w:color w:val="002060"/>
        </w:rPr>
      </w:pPr>
    </w:p>
    <w:p w14:paraId="4D2601F8" w14:textId="77777777" w:rsidR="008A6762" w:rsidRDefault="008A6762">
      <w:pPr>
        <w:rPr>
          <w:color w:val="002060"/>
        </w:rPr>
      </w:pPr>
    </w:p>
    <w:p w14:paraId="3AFDD7E8" w14:textId="730E8C49" w:rsidR="008A6762" w:rsidRPr="008A6762" w:rsidRDefault="008A6762" w:rsidP="008A6762">
      <w:pPr>
        <w:spacing w:after="0"/>
        <w:rPr>
          <w:b/>
          <w:bCs/>
          <w:color w:val="002060"/>
        </w:rPr>
      </w:pPr>
      <w:r w:rsidRPr="008A6762">
        <w:rPr>
          <w:b/>
          <w:bCs/>
          <w:color w:val="002060"/>
        </w:rPr>
        <w:t>Scott Sanford</w:t>
      </w:r>
    </w:p>
    <w:p w14:paraId="08E0BFEB" w14:textId="75EBF1A6" w:rsidR="008A6762" w:rsidRPr="008A6762" w:rsidRDefault="008A6762" w:rsidP="008A6762">
      <w:pPr>
        <w:spacing w:after="0"/>
        <w:rPr>
          <w:b/>
          <w:bCs/>
          <w:color w:val="002060"/>
        </w:rPr>
      </w:pPr>
      <w:r w:rsidRPr="008A6762">
        <w:rPr>
          <w:b/>
          <w:bCs/>
          <w:color w:val="002060"/>
        </w:rPr>
        <w:t>Richard Campbell</w:t>
      </w:r>
    </w:p>
    <w:p w14:paraId="291FB64A" w14:textId="689DA8EF" w:rsidR="008A6762" w:rsidRPr="008A6762" w:rsidRDefault="00366C21" w:rsidP="008A6762">
      <w:pPr>
        <w:spacing w:after="0"/>
        <w:rPr>
          <w:color w:val="0070C0"/>
        </w:rPr>
      </w:pPr>
      <w:r>
        <w:rPr>
          <w:color w:val="0070C0"/>
        </w:rPr>
        <w:t>October</w:t>
      </w:r>
      <w:r w:rsidR="008A6762" w:rsidRPr="008A6762">
        <w:rPr>
          <w:color w:val="0070C0"/>
        </w:rPr>
        <w:t xml:space="preserve"> 2025</w:t>
      </w:r>
    </w:p>
    <w:sectPr w:rsidR="008A6762" w:rsidRPr="008A676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8CCB" w14:textId="77777777" w:rsidR="00DB5FD1" w:rsidRDefault="00DB5FD1" w:rsidP="005B4E7E">
      <w:pPr>
        <w:spacing w:after="0" w:line="240" w:lineRule="auto"/>
      </w:pPr>
      <w:r>
        <w:separator/>
      </w:r>
    </w:p>
  </w:endnote>
  <w:endnote w:type="continuationSeparator" w:id="0">
    <w:p w14:paraId="3A80601D" w14:textId="77777777" w:rsidR="00DB5FD1" w:rsidRDefault="00DB5FD1" w:rsidP="005B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3CDC" w14:textId="77777777" w:rsidR="00DB5FD1" w:rsidRDefault="00DB5FD1" w:rsidP="005B4E7E">
      <w:pPr>
        <w:spacing w:after="0" w:line="240" w:lineRule="auto"/>
      </w:pPr>
      <w:r>
        <w:separator/>
      </w:r>
    </w:p>
  </w:footnote>
  <w:footnote w:type="continuationSeparator" w:id="0">
    <w:p w14:paraId="1BA1F989" w14:textId="77777777" w:rsidR="00DB5FD1" w:rsidRDefault="00DB5FD1" w:rsidP="005B4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17B7" w14:textId="77777777" w:rsidR="005B4E7E" w:rsidRDefault="005B4E7E">
    <w:pPr>
      <w:pStyle w:val="Header"/>
    </w:pPr>
    <w:r>
      <w:rPr>
        <w:noProof/>
      </w:rPr>
      <w:drawing>
        <wp:anchor distT="0" distB="0" distL="114300" distR="114300" simplePos="0" relativeHeight="251658240" behindDoc="0" locked="0" layoutInCell="1" allowOverlap="1" wp14:anchorId="75F4DC3E" wp14:editId="4DB23E5E">
          <wp:simplePos x="0" y="0"/>
          <wp:positionH relativeFrom="column">
            <wp:posOffset>3276600</wp:posOffset>
          </wp:positionH>
          <wp:positionV relativeFrom="paragraph">
            <wp:posOffset>-220980</wp:posOffset>
          </wp:positionV>
          <wp:extent cx="2520000" cy="680964"/>
          <wp:effectExtent l="0" t="0" r="0" b="5080"/>
          <wp:wrapSquare wrapText="bothSides"/>
          <wp:docPr id="48222941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2941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0000" cy="6809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109BB"/>
    <w:multiLevelType w:val="multilevel"/>
    <w:tmpl w:val="E68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17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3A"/>
    <w:rsid w:val="00000331"/>
    <w:rsid w:val="000112ED"/>
    <w:rsid w:val="000172A7"/>
    <w:rsid w:val="0002798C"/>
    <w:rsid w:val="00077C83"/>
    <w:rsid w:val="00093DD7"/>
    <w:rsid w:val="000D066A"/>
    <w:rsid w:val="000E4F2C"/>
    <w:rsid w:val="00106EF9"/>
    <w:rsid w:val="00123702"/>
    <w:rsid w:val="0014528E"/>
    <w:rsid w:val="001706F8"/>
    <w:rsid w:val="00186A37"/>
    <w:rsid w:val="00190416"/>
    <w:rsid w:val="00195F99"/>
    <w:rsid w:val="001A258A"/>
    <w:rsid w:val="001D4B17"/>
    <w:rsid w:val="00240B0B"/>
    <w:rsid w:val="002E3678"/>
    <w:rsid w:val="003661FA"/>
    <w:rsid w:val="00366C21"/>
    <w:rsid w:val="00377EC3"/>
    <w:rsid w:val="003800C5"/>
    <w:rsid w:val="003B5797"/>
    <w:rsid w:val="00465F64"/>
    <w:rsid w:val="00470D3A"/>
    <w:rsid w:val="004F0FEF"/>
    <w:rsid w:val="0051684F"/>
    <w:rsid w:val="00544D76"/>
    <w:rsid w:val="00561EED"/>
    <w:rsid w:val="005B4E7E"/>
    <w:rsid w:val="00625FB7"/>
    <w:rsid w:val="00640F2A"/>
    <w:rsid w:val="006771A5"/>
    <w:rsid w:val="00693ABA"/>
    <w:rsid w:val="007411C2"/>
    <w:rsid w:val="00750A05"/>
    <w:rsid w:val="00796070"/>
    <w:rsid w:val="007F3FD5"/>
    <w:rsid w:val="00803E36"/>
    <w:rsid w:val="008A6762"/>
    <w:rsid w:val="008F1352"/>
    <w:rsid w:val="008F3AF1"/>
    <w:rsid w:val="009253AD"/>
    <w:rsid w:val="00926FF1"/>
    <w:rsid w:val="00943E1B"/>
    <w:rsid w:val="00971DEA"/>
    <w:rsid w:val="009E7525"/>
    <w:rsid w:val="00A13694"/>
    <w:rsid w:val="00A300A8"/>
    <w:rsid w:val="00A32838"/>
    <w:rsid w:val="00A40125"/>
    <w:rsid w:val="00B76287"/>
    <w:rsid w:val="00C13B1A"/>
    <w:rsid w:val="00C6798C"/>
    <w:rsid w:val="00CE439B"/>
    <w:rsid w:val="00D216F3"/>
    <w:rsid w:val="00D320E6"/>
    <w:rsid w:val="00DB5FD1"/>
    <w:rsid w:val="00E42467"/>
    <w:rsid w:val="00E4631B"/>
    <w:rsid w:val="00E5065A"/>
    <w:rsid w:val="00EE71F6"/>
    <w:rsid w:val="00EF27E2"/>
    <w:rsid w:val="00F2166D"/>
    <w:rsid w:val="00F23D03"/>
    <w:rsid w:val="00F32E04"/>
    <w:rsid w:val="00F40D93"/>
    <w:rsid w:val="00F458DA"/>
    <w:rsid w:val="00FD713D"/>
    <w:rsid w:val="1D49AC61"/>
    <w:rsid w:val="27365B7D"/>
    <w:rsid w:val="2F8C53E2"/>
    <w:rsid w:val="487F21E4"/>
    <w:rsid w:val="5A0B8991"/>
    <w:rsid w:val="6C9D57DF"/>
    <w:rsid w:val="6F88246D"/>
    <w:rsid w:val="735C173A"/>
    <w:rsid w:val="74293CE9"/>
    <w:rsid w:val="7E2FF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FE7A1"/>
  <w15:chartTrackingRefBased/>
  <w15:docId w15:val="{7ED8239E-0864-4EB6-B1BB-86BF73E2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E7E"/>
    <w:rPr>
      <w:rFonts w:eastAsiaTheme="majorEastAsia" w:cstheme="majorBidi"/>
      <w:color w:val="272727" w:themeColor="text1" w:themeTint="D8"/>
    </w:rPr>
  </w:style>
  <w:style w:type="paragraph" w:styleId="Title">
    <w:name w:val="Title"/>
    <w:basedOn w:val="Normal"/>
    <w:next w:val="Normal"/>
    <w:link w:val="TitleChar"/>
    <w:uiPriority w:val="10"/>
    <w:qFormat/>
    <w:rsid w:val="005B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E7E"/>
    <w:pPr>
      <w:spacing w:before="160"/>
      <w:jc w:val="center"/>
    </w:pPr>
    <w:rPr>
      <w:i/>
      <w:iCs/>
      <w:color w:val="404040" w:themeColor="text1" w:themeTint="BF"/>
    </w:rPr>
  </w:style>
  <w:style w:type="character" w:customStyle="1" w:styleId="QuoteChar">
    <w:name w:val="Quote Char"/>
    <w:basedOn w:val="DefaultParagraphFont"/>
    <w:link w:val="Quote"/>
    <w:uiPriority w:val="29"/>
    <w:rsid w:val="005B4E7E"/>
    <w:rPr>
      <w:i/>
      <w:iCs/>
      <w:color w:val="404040" w:themeColor="text1" w:themeTint="BF"/>
    </w:rPr>
  </w:style>
  <w:style w:type="paragraph" w:styleId="ListParagraph">
    <w:name w:val="List Paragraph"/>
    <w:basedOn w:val="Normal"/>
    <w:uiPriority w:val="34"/>
    <w:qFormat/>
    <w:rsid w:val="005B4E7E"/>
    <w:pPr>
      <w:ind w:left="720"/>
      <w:contextualSpacing/>
    </w:pPr>
  </w:style>
  <w:style w:type="character" w:styleId="IntenseEmphasis">
    <w:name w:val="Intense Emphasis"/>
    <w:basedOn w:val="DefaultParagraphFont"/>
    <w:uiPriority w:val="21"/>
    <w:qFormat/>
    <w:rsid w:val="005B4E7E"/>
    <w:rPr>
      <w:i/>
      <w:iCs/>
      <w:color w:val="0F4761" w:themeColor="accent1" w:themeShade="BF"/>
    </w:rPr>
  </w:style>
  <w:style w:type="paragraph" w:styleId="IntenseQuote">
    <w:name w:val="Intense Quote"/>
    <w:basedOn w:val="Normal"/>
    <w:next w:val="Normal"/>
    <w:link w:val="IntenseQuoteChar"/>
    <w:uiPriority w:val="30"/>
    <w:qFormat/>
    <w:rsid w:val="005B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E7E"/>
    <w:rPr>
      <w:i/>
      <w:iCs/>
      <w:color w:val="0F4761" w:themeColor="accent1" w:themeShade="BF"/>
    </w:rPr>
  </w:style>
  <w:style w:type="character" w:styleId="IntenseReference">
    <w:name w:val="Intense Reference"/>
    <w:basedOn w:val="DefaultParagraphFont"/>
    <w:uiPriority w:val="32"/>
    <w:qFormat/>
    <w:rsid w:val="005B4E7E"/>
    <w:rPr>
      <w:b/>
      <w:bCs/>
      <w:smallCaps/>
      <w:color w:val="0F4761" w:themeColor="accent1" w:themeShade="BF"/>
      <w:spacing w:val="5"/>
    </w:rPr>
  </w:style>
  <w:style w:type="paragraph" w:styleId="Header">
    <w:name w:val="header"/>
    <w:basedOn w:val="Normal"/>
    <w:link w:val="HeaderChar"/>
    <w:uiPriority w:val="99"/>
    <w:unhideWhenUsed/>
    <w:rsid w:val="005B4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7E"/>
  </w:style>
  <w:style w:type="paragraph" w:styleId="Footer">
    <w:name w:val="footer"/>
    <w:basedOn w:val="Normal"/>
    <w:link w:val="FooterChar"/>
    <w:uiPriority w:val="99"/>
    <w:unhideWhenUsed/>
    <w:rsid w:val="005B4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7E"/>
  </w:style>
  <w:style w:type="character" w:styleId="Hyperlink">
    <w:name w:val="Hyperlink"/>
    <w:basedOn w:val="DefaultParagraphFont"/>
    <w:uiPriority w:val="99"/>
    <w:unhideWhenUsed/>
    <w:rsid w:val="00470D3A"/>
    <w:rPr>
      <w:color w:val="467886" w:themeColor="hyperlink"/>
      <w:u w:val="single"/>
    </w:rPr>
  </w:style>
  <w:style w:type="character" w:styleId="UnresolvedMention">
    <w:name w:val="Unresolved Mention"/>
    <w:basedOn w:val="DefaultParagraphFont"/>
    <w:uiPriority w:val="99"/>
    <w:semiHidden/>
    <w:unhideWhenUsed/>
    <w:rsid w:val="00470D3A"/>
    <w:rPr>
      <w:color w:val="605E5C"/>
      <w:shd w:val="clear" w:color="auto" w:fill="E1DFDD"/>
    </w:rPr>
  </w:style>
  <w:style w:type="table" w:styleId="TableGrid">
    <w:name w:val="Table Grid"/>
    <w:basedOn w:val="TableNormal"/>
    <w:uiPriority w:val="39"/>
    <w:rsid w:val="0047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20E6"/>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nsult.gov.scot/planning-architecture/potential-development-rights-new-homes-provision/consultation/subpage.2025-06-11.7204913972/"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Campbell\OneDrive%20-%20SNIPEF%20Management%20Ltd\Desktop\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01dcbb-f21c-4c77-a1c9-3f074ec9c796" xsi:nil="true"/>
    <lcf76f155ced4ddcb4097134ff3c332f xmlns="cd2cd5e2-c3b9-4ce6-bdaf-5491a85159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093AA615BFF44B661172E65AADDEE" ma:contentTypeVersion="15" ma:contentTypeDescription="Create a new document." ma:contentTypeScope="" ma:versionID="f89cd9b6f6913f9f9ce8a7ab4e589495">
  <xsd:schema xmlns:xsd="http://www.w3.org/2001/XMLSchema" xmlns:xs="http://www.w3.org/2001/XMLSchema" xmlns:p="http://schemas.microsoft.com/office/2006/metadata/properties" xmlns:ns2="cd2cd5e2-c3b9-4ce6-bdaf-5491a8515945" xmlns:ns3="d401dcbb-f21c-4c77-a1c9-3f074ec9c796" targetNamespace="http://schemas.microsoft.com/office/2006/metadata/properties" ma:root="true" ma:fieldsID="8d20775db91726236c9f7b1356a2ccaa" ns2:_="" ns3:_="">
    <xsd:import namespace="cd2cd5e2-c3b9-4ce6-bdaf-5491a8515945"/>
    <xsd:import namespace="d401dcbb-f21c-4c77-a1c9-3f074ec9c7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cd5e2-c3b9-4ce6-bdaf-5491a8515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5bc47e-fd3d-43ae-b25a-761e47cc0e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1dcbb-f21c-4c77-a1c9-3f074ec9c7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9ad49c-c4dc-4cf1-ae41-c9922fdd7556}" ma:internalName="TaxCatchAll" ma:showField="CatchAllData" ma:web="d401dcbb-f21c-4c77-a1c9-3f074ec9c7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6E57F-33CC-4DBF-BC5E-3CA897EDC614}">
  <ds:schemaRefs>
    <ds:schemaRef ds:uri="http://schemas.microsoft.com/office/2006/metadata/properties"/>
    <ds:schemaRef ds:uri="http://schemas.microsoft.com/office/infopath/2007/PartnerControls"/>
    <ds:schemaRef ds:uri="d401dcbb-f21c-4c77-a1c9-3f074ec9c796"/>
    <ds:schemaRef ds:uri="cd2cd5e2-c3b9-4ce6-bdaf-5491a8515945"/>
  </ds:schemaRefs>
</ds:datastoreItem>
</file>

<file path=customXml/itemProps2.xml><?xml version="1.0" encoding="utf-8"?>
<ds:datastoreItem xmlns:ds="http://schemas.openxmlformats.org/officeDocument/2006/customXml" ds:itemID="{7FC64108-E24A-4FC1-995E-F1D296B7AF02}">
  <ds:schemaRefs>
    <ds:schemaRef ds:uri="http://schemas.microsoft.com/sharepoint/v3/contenttype/forms"/>
  </ds:schemaRefs>
</ds:datastoreItem>
</file>

<file path=customXml/itemProps3.xml><?xml version="1.0" encoding="utf-8"?>
<ds:datastoreItem xmlns:ds="http://schemas.openxmlformats.org/officeDocument/2006/customXml" ds:itemID="{310CAECB-8595-42F7-A0C3-1E7F39E98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cd5e2-c3b9-4ce6-bdaf-5491a8515945"/>
    <ds:schemaRef ds:uri="d401dcbb-f21c-4c77-a1c9-3f074ec9c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Template</Template>
  <TotalTime>0</TotalTime>
  <Pages>8</Pages>
  <Words>2286</Words>
  <Characters>13036</Characters>
  <Application>Microsoft Office Word</Application>
  <DocSecurity>0</DocSecurity>
  <Lines>108</Lines>
  <Paragraphs>30</Paragraphs>
  <ScaleCrop>false</ScaleCrop>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Campbell</dc:creator>
  <cp:keywords/>
  <dc:description/>
  <cp:lastModifiedBy>Richard Campbell</cp:lastModifiedBy>
  <cp:revision>11</cp:revision>
  <dcterms:created xsi:type="dcterms:W3CDTF">2025-10-22T09:39:00Z</dcterms:created>
  <dcterms:modified xsi:type="dcterms:W3CDTF">2025-10-22T09:48:00Z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0x010100BB3093AA615BFF44B661172E65AADDEE</vt:lpwstr>
  </property>
  <property fmtid="{D5CDD505-2E9C-101B-9397-08002B2CF9AE}" pid="3" name="MediaServiceImageTags">
    <vt:lpwstr/>
  </property>
</Properties>
</file>