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2CF3" w14:textId="77777777" w:rsidR="002E00F0" w:rsidRDefault="002E00F0" w:rsidP="00617A06">
      <w:pPr>
        <w:tabs>
          <w:tab w:val="left" w:pos="915"/>
        </w:tabs>
        <w:jc w:val="center"/>
        <w:rPr>
          <w:rFonts w:ascii="TT Norms Pro Light" w:hAnsi="TT Norms Pro Light"/>
          <w:sz w:val="32"/>
          <w:szCs w:val="32"/>
        </w:rPr>
      </w:pPr>
    </w:p>
    <w:p w14:paraId="5E4F19F1" w14:textId="40A2EFD9" w:rsidR="00FD4383" w:rsidRPr="00CA1A27" w:rsidRDefault="00FD4383" w:rsidP="00186680">
      <w:pPr>
        <w:tabs>
          <w:tab w:val="left" w:pos="915"/>
        </w:tabs>
        <w:spacing w:after="240"/>
        <w:jc w:val="center"/>
        <w:rPr>
          <w:rFonts w:ascii="TT Norms Pro Light" w:hAnsi="TT Norms Pro Light"/>
          <w:sz w:val="32"/>
          <w:szCs w:val="32"/>
        </w:rPr>
      </w:pPr>
      <w:r w:rsidRPr="00CA1A27">
        <w:rPr>
          <w:rFonts w:ascii="TT Norms Pro Light" w:hAnsi="TT Norms Pro Light"/>
          <w:sz w:val="32"/>
          <w:szCs w:val="32"/>
        </w:rPr>
        <w:t>CONSULTATION RESPONSE FORM</w:t>
      </w:r>
    </w:p>
    <w:p w14:paraId="6FD78407" w14:textId="74E5F7B4" w:rsidR="00F3378E" w:rsidRDefault="002D1AEC" w:rsidP="0003692D">
      <w:pPr>
        <w:tabs>
          <w:tab w:val="left" w:pos="915"/>
        </w:tabs>
        <w:ind w:left="2552" w:right="2357"/>
        <w:jc w:val="center"/>
        <w:rPr>
          <w:rFonts w:ascii="TT Norms Pro Light" w:hAnsi="TT Norms Pro Light"/>
          <w:sz w:val="32"/>
          <w:szCs w:val="32"/>
        </w:rPr>
      </w:pPr>
      <w:r w:rsidRPr="00F3378E">
        <w:rPr>
          <w:rFonts w:ascii="TT Norms Pro Light" w:hAnsi="TT Norms Pro Light"/>
          <w:sz w:val="32"/>
          <w:szCs w:val="32"/>
        </w:rPr>
        <w:t>M</w:t>
      </w:r>
      <w:r>
        <w:rPr>
          <w:rFonts w:ascii="TT Norms Pro Light" w:hAnsi="TT Norms Pro Light"/>
          <w:sz w:val="32"/>
          <w:szCs w:val="32"/>
        </w:rPr>
        <w:t>IS 3005-D</w:t>
      </w:r>
      <w:r w:rsidR="005445C6">
        <w:rPr>
          <w:rFonts w:ascii="TT Norms Pro Light" w:hAnsi="TT Norms Pro Light"/>
          <w:sz w:val="32"/>
          <w:szCs w:val="32"/>
        </w:rPr>
        <w:t>: The</w:t>
      </w:r>
      <w:r>
        <w:rPr>
          <w:rFonts w:ascii="TT Norms Pro Light" w:hAnsi="TT Norms Pro Light"/>
          <w:sz w:val="32"/>
          <w:szCs w:val="32"/>
        </w:rPr>
        <w:t xml:space="preserve"> Heat Pump Design Standard </w:t>
      </w:r>
    </w:p>
    <w:p w14:paraId="6F1376D6" w14:textId="6D1CC66C" w:rsidR="00186680" w:rsidRPr="00CA1A27" w:rsidRDefault="002E00F0" w:rsidP="002E00F0">
      <w:pPr>
        <w:tabs>
          <w:tab w:val="left" w:pos="915"/>
        </w:tabs>
        <w:rPr>
          <w:rFonts w:ascii="TT Norms Pro Light" w:hAnsi="TT Norms Pro Light"/>
        </w:rPr>
      </w:pPr>
      <w:r w:rsidRPr="00CA1A27">
        <w:rPr>
          <w:rFonts w:ascii="TT Norms Pro Light" w:hAnsi="TT Norms Pro Light"/>
        </w:rPr>
        <w:t xml:space="preserve">Thank you for taking the time to comment on </w:t>
      </w:r>
      <w:r>
        <w:rPr>
          <w:rFonts w:ascii="TT Norms Pro Light" w:hAnsi="TT Norms Pro Light"/>
        </w:rPr>
        <w:t xml:space="preserve">this </w:t>
      </w:r>
      <w:r w:rsidRPr="00CA1A27">
        <w:rPr>
          <w:rFonts w:ascii="TT Norms Pro Light" w:hAnsi="TT Norms Pro Light"/>
        </w:rPr>
        <w:t xml:space="preserve">consultation. MCS values the input from all interested parties in the development of its </w:t>
      </w:r>
      <w:r>
        <w:rPr>
          <w:rFonts w:ascii="TT Norms Pro Light" w:hAnsi="TT Norms Pro Light"/>
        </w:rPr>
        <w:t>S</w:t>
      </w:r>
      <w:r w:rsidRPr="00CA1A27">
        <w:rPr>
          <w:rFonts w:ascii="TT Norms Pro Light" w:hAnsi="TT Norms Pro Light"/>
        </w:rPr>
        <w:t xml:space="preserve">tandards as without you we would not be able to define </w:t>
      </w:r>
      <w:r>
        <w:rPr>
          <w:rFonts w:ascii="TT Norms Pro Light" w:hAnsi="TT Norms Pro Light"/>
        </w:rPr>
        <w:t>and raise the quality of installations. We would be grateful if you could use this form for your response which helps with collation and consideration of</w:t>
      </w:r>
      <w:r w:rsidR="00C71950">
        <w:rPr>
          <w:rFonts w:ascii="TT Norms Pro Light" w:hAnsi="TT Norms Pro Light"/>
        </w:rPr>
        <w:t xml:space="preserve"> the</w:t>
      </w:r>
      <w:r>
        <w:rPr>
          <w:rFonts w:ascii="TT Norms Pro Light" w:hAnsi="TT Norms Pro Light"/>
        </w:rPr>
        <w:t xml:space="preserve"> </w:t>
      </w:r>
      <w:r w:rsidR="001564C1">
        <w:rPr>
          <w:rFonts w:ascii="TT Norms Pro Light" w:hAnsi="TT Norms Pro Light"/>
        </w:rPr>
        <w:t>feedback</w:t>
      </w:r>
      <w:r>
        <w:rPr>
          <w:rFonts w:ascii="TT Norms Pro Light" w:hAnsi="TT Norms Pro Light"/>
        </w:rPr>
        <w:t>. The form is in two parts: the first part includes a table where you can make comments on each line/paragraph of the draft document</w:t>
      </w:r>
      <w:r w:rsidR="00C601B7">
        <w:rPr>
          <w:rFonts w:ascii="TT Norms Pro Light" w:hAnsi="TT Norms Pro Light"/>
        </w:rPr>
        <w:t>; t</w:t>
      </w:r>
      <w:r>
        <w:rPr>
          <w:rFonts w:ascii="TT Norms Pro Light" w:hAnsi="TT Norms Pro Light"/>
        </w:rPr>
        <w:t>he second part includes specific questions that will help arrive at a final published version.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88"/>
      </w:tblGrid>
      <w:tr w:rsidR="0054287B" w:rsidRPr="00CA1A27" w14:paraId="14E6C3D7" w14:textId="77777777" w:rsidTr="0054287B">
        <w:trPr>
          <w:trHeight w:val="1384"/>
        </w:trPr>
        <w:tc>
          <w:tcPr>
            <w:tcW w:w="5000" w:type="pct"/>
          </w:tcPr>
          <w:p w14:paraId="5AD9C15F" w14:textId="03AE3583" w:rsidR="006D141D" w:rsidRPr="004B407E" w:rsidRDefault="006D141D" w:rsidP="006D141D">
            <w:pPr>
              <w:tabs>
                <w:tab w:val="left" w:pos="915"/>
              </w:tabs>
              <w:rPr>
                <w:rFonts w:ascii="TT Norms Pro Light" w:hAnsi="TT Norms Pro Light"/>
              </w:rPr>
            </w:pPr>
            <w:r w:rsidRPr="004B407E">
              <w:rPr>
                <w:rFonts w:ascii="TT Norms Pro Light" w:hAnsi="TT Norms Pro Light"/>
              </w:rPr>
              <w:t>Introduction:</w:t>
            </w:r>
          </w:p>
          <w:p w14:paraId="74915745" w14:textId="477816EB" w:rsidR="00244D39" w:rsidRDefault="00244D39" w:rsidP="006D141D">
            <w:pPr>
              <w:tabs>
                <w:tab w:val="left" w:pos="915"/>
              </w:tabs>
              <w:rPr>
                <w:rFonts w:ascii="TT Norms Pro Light" w:hAnsi="TT Norms Pro Light"/>
              </w:rPr>
            </w:pPr>
          </w:p>
          <w:p w14:paraId="4B9FAB82" w14:textId="348C655D" w:rsidR="00D56897" w:rsidRPr="00085E38" w:rsidRDefault="00D56897" w:rsidP="006D141D">
            <w:pPr>
              <w:tabs>
                <w:tab w:val="left" w:pos="915"/>
              </w:tabs>
              <w:rPr>
                <w:rFonts w:ascii="TT Norms Pro Light" w:hAnsi="TT Norms Pro Light"/>
              </w:rPr>
            </w:pPr>
            <w:r>
              <w:rPr>
                <w:rFonts w:ascii="TT Norms Pro Light" w:hAnsi="TT Norms Pro Light"/>
              </w:rPr>
              <w:t xml:space="preserve">MCS are consulting on </w:t>
            </w:r>
            <w:r w:rsidRPr="00FD0562">
              <w:rPr>
                <w:rFonts w:ascii="TT Norms Pro Light" w:hAnsi="TT Norms Pro Light"/>
                <w:sz w:val="20"/>
                <w:szCs w:val="20"/>
              </w:rPr>
              <w:t>changes to MIS 3005-D: The Heat Pump Design Standard which aim to clarify the circumstances under which a hybrid heat pump heating system would be compliant with MCS requirements.</w:t>
            </w:r>
          </w:p>
          <w:p w14:paraId="582F384F" w14:textId="77777777" w:rsidR="00D56897" w:rsidRDefault="00D56897" w:rsidP="00D56897">
            <w:pPr>
              <w:rPr>
                <w:rFonts w:ascii="TT Norms Pro Light" w:hAnsi="TT Norms Pro Light"/>
                <w:sz w:val="20"/>
                <w:szCs w:val="20"/>
              </w:rPr>
            </w:pPr>
          </w:p>
          <w:p w14:paraId="253EF6F4" w14:textId="77777777" w:rsidR="00D56897" w:rsidRPr="00FD0562" w:rsidRDefault="00D56897" w:rsidP="00D56897">
            <w:pPr>
              <w:rPr>
                <w:rFonts w:ascii="TT Norms Pro Light" w:hAnsi="TT Norms Pro Light"/>
                <w:sz w:val="20"/>
                <w:szCs w:val="20"/>
              </w:rPr>
            </w:pPr>
            <w:r w:rsidRPr="00FD0562">
              <w:rPr>
                <w:rFonts w:ascii="TT Norms Pro Light" w:hAnsi="TT Norms Pro Light"/>
                <w:sz w:val="20"/>
                <w:szCs w:val="20"/>
              </w:rPr>
              <w:t xml:space="preserve">MCS is now consulting on the proposed changes to MIS 3005-D which include: </w:t>
            </w:r>
          </w:p>
          <w:p w14:paraId="7B94C34F" w14:textId="77777777" w:rsidR="00D56897" w:rsidRPr="00FD0562" w:rsidRDefault="00D56897" w:rsidP="00D56897">
            <w:pPr>
              <w:pStyle w:val="ListParagraph"/>
              <w:numPr>
                <w:ilvl w:val="0"/>
                <w:numId w:val="17"/>
              </w:numPr>
              <w:rPr>
                <w:rFonts w:ascii="TT Norms Pro Light" w:hAnsi="TT Norms Pro Light"/>
                <w:sz w:val="20"/>
                <w:szCs w:val="20"/>
              </w:rPr>
            </w:pPr>
            <w:r w:rsidRPr="00FD0562">
              <w:rPr>
                <w:rFonts w:ascii="TT Norms Pro Light" w:hAnsi="TT Norms Pro Light"/>
                <w:sz w:val="20"/>
                <w:szCs w:val="20"/>
              </w:rPr>
              <w:t>The introduction of a definition of a hybrid heat pump system</w:t>
            </w:r>
          </w:p>
          <w:p w14:paraId="15159CC9" w14:textId="77777777" w:rsidR="00D56897" w:rsidRPr="00FD0562" w:rsidRDefault="00D56897" w:rsidP="00D56897">
            <w:pPr>
              <w:pStyle w:val="ListParagraph"/>
              <w:numPr>
                <w:ilvl w:val="0"/>
                <w:numId w:val="17"/>
              </w:numPr>
              <w:rPr>
                <w:rFonts w:ascii="TT Norms Pro Light" w:hAnsi="TT Norms Pro Light"/>
                <w:sz w:val="20"/>
                <w:szCs w:val="20"/>
              </w:rPr>
            </w:pPr>
            <w:r w:rsidRPr="00FD0562">
              <w:rPr>
                <w:rFonts w:ascii="TT Norms Pro Light" w:hAnsi="TT Norms Pro Light"/>
                <w:sz w:val="20"/>
                <w:szCs w:val="20"/>
              </w:rPr>
              <w:t>The removal of the requirement that a heat pump should be selected that will provide at least 100% of the calculated heat loss when installing a hybrid heat pump system</w:t>
            </w:r>
          </w:p>
          <w:p w14:paraId="792C7640" w14:textId="50C0C4A6" w:rsidR="00D56897" w:rsidRDefault="00D56897" w:rsidP="00D56897">
            <w:pPr>
              <w:pStyle w:val="ListParagraph"/>
              <w:numPr>
                <w:ilvl w:val="0"/>
                <w:numId w:val="17"/>
              </w:numPr>
              <w:rPr>
                <w:rFonts w:ascii="TT Norms Pro Light" w:hAnsi="TT Norms Pro Light"/>
                <w:sz w:val="20"/>
                <w:szCs w:val="20"/>
              </w:rPr>
            </w:pPr>
            <w:r w:rsidRPr="00FD0562">
              <w:rPr>
                <w:rFonts w:ascii="TT Norms Pro Light" w:hAnsi="TT Norms Pro Light"/>
                <w:sz w:val="20"/>
                <w:szCs w:val="20"/>
              </w:rPr>
              <w:t xml:space="preserve">Introduction of the requirement for a minimum 55% peak </w:t>
            </w:r>
            <w:r w:rsidR="00024901">
              <w:rPr>
                <w:rFonts w:ascii="TT Norms Pro Light" w:hAnsi="TT Norms Pro Light"/>
                <w:sz w:val="20"/>
                <w:szCs w:val="20"/>
              </w:rPr>
              <w:t xml:space="preserve">power </w:t>
            </w:r>
            <w:r w:rsidRPr="00FD0562">
              <w:rPr>
                <w:rFonts w:ascii="TT Norms Pro Light" w:hAnsi="TT Norms Pro Light"/>
                <w:sz w:val="20"/>
                <w:szCs w:val="20"/>
              </w:rPr>
              <w:t>output contribution from the heat pump at a 55</w:t>
            </w:r>
            <w:r w:rsidRPr="00FD0562">
              <w:rPr>
                <w:rFonts w:ascii="Cambria Math" w:hAnsi="Cambria Math"/>
                <w:sz w:val="20"/>
                <w:szCs w:val="20"/>
              </w:rPr>
              <w:t>°</w:t>
            </w:r>
            <w:r w:rsidRPr="00FD0562">
              <w:rPr>
                <w:rFonts w:ascii="TT Norms Pro Light" w:hAnsi="TT Norms Pro Light"/>
                <w:sz w:val="20"/>
                <w:szCs w:val="20"/>
              </w:rPr>
              <w:t>C flow temperature and at design conditions when installing a hybrid heat pump system</w:t>
            </w:r>
          </w:p>
          <w:p w14:paraId="1FC0D4E3" w14:textId="77777777" w:rsidR="00387521" w:rsidRPr="00FD0562" w:rsidRDefault="00387521" w:rsidP="00387521">
            <w:pPr>
              <w:pStyle w:val="ListParagraph"/>
              <w:rPr>
                <w:rFonts w:ascii="TT Norms Pro Light" w:hAnsi="TT Norms Pro Light"/>
                <w:sz w:val="20"/>
                <w:szCs w:val="20"/>
              </w:rPr>
            </w:pPr>
          </w:p>
          <w:p w14:paraId="01228B19" w14:textId="12288DAF" w:rsidR="00D56897" w:rsidRPr="00FD0562" w:rsidRDefault="00D56897" w:rsidP="00D56897">
            <w:pPr>
              <w:rPr>
                <w:rFonts w:ascii="TT Norms Pro Light" w:hAnsi="TT Norms Pro Light"/>
                <w:sz w:val="20"/>
                <w:szCs w:val="20"/>
              </w:rPr>
            </w:pPr>
            <w:r w:rsidRPr="00FD0562">
              <w:rPr>
                <w:rFonts w:ascii="TT Norms Pro Light" w:hAnsi="TT Norms Pro Light"/>
                <w:sz w:val="20"/>
                <w:szCs w:val="20"/>
              </w:rPr>
              <w:t>This consultation also seeks feedback on whether the heat pump should always be prioritised in a hybrid heat pump system or if there should be a set minimum of heat supplied from the heat pump.</w:t>
            </w:r>
          </w:p>
          <w:p w14:paraId="739421EF" w14:textId="3A3A8813" w:rsidR="00005100" w:rsidRPr="00005100" w:rsidRDefault="00005100" w:rsidP="00FB1CA5">
            <w:pPr>
              <w:keepLines/>
              <w:rPr>
                <w:rFonts w:ascii="TT Norms Pro Light" w:hAnsi="TT Norms Pro Light"/>
              </w:rPr>
            </w:pPr>
          </w:p>
        </w:tc>
      </w:tr>
    </w:tbl>
    <w:p w14:paraId="2F186A28" w14:textId="44E81A04" w:rsidR="001E731A" w:rsidRPr="00CA1A27" w:rsidRDefault="001E731A" w:rsidP="008723B7">
      <w:pPr>
        <w:tabs>
          <w:tab w:val="left" w:pos="10875"/>
        </w:tabs>
        <w:rPr>
          <w:rFonts w:ascii="TT Norms Pro Light" w:hAnsi="TT Norms Pro Light"/>
        </w:rPr>
      </w:pPr>
    </w:p>
    <w:tbl>
      <w:tblPr>
        <w:tblW w:w="2752" w:type="pct"/>
        <w:tblLook w:val="0000" w:firstRow="0" w:lastRow="0" w:firstColumn="0" w:lastColumn="0" w:noHBand="0" w:noVBand="0"/>
      </w:tblPr>
      <w:tblGrid>
        <w:gridCol w:w="2279"/>
        <w:gridCol w:w="2564"/>
        <w:gridCol w:w="1710"/>
        <w:gridCol w:w="1913"/>
      </w:tblGrid>
      <w:tr w:rsidR="00967B7D" w:rsidRPr="00CA1A27" w14:paraId="6344417B" w14:textId="77777777" w:rsidTr="00967B7D">
        <w:trPr>
          <w:cantSplit/>
          <w:tblHeader/>
        </w:trPr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AD5580" w14:textId="125DCA99" w:rsidR="00967B7D" w:rsidRPr="00CA1A27" w:rsidRDefault="00967B7D" w:rsidP="001E731A">
            <w:pPr>
              <w:tabs>
                <w:tab w:val="left" w:pos="10875"/>
              </w:tabs>
              <w:rPr>
                <w:rFonts w:ascii="TT Norms Pro Light" w:hAnsi="TT Norms Pro Light"/>
              </w:rPr>
            </w:pPr>
            <w:r w:rsidRPr="00CA1A27">
              <w:rPr>
                <w:rFonts w:ascii="TT Norms Pro Light" w:hAnsi="TT Norms Pro Light"/>
                <w:sz w:val="20"/>
                <w:szCs w:val="20"/>
              </w:rPr>
              <w:lastRenderedPageBreak/>
              <w:t>Respondent Name</w:t>
            </w:r>
            <w:r>
              <w:rPr>
                <w:rFonts w:ascii="TT Norms Pro Light" w:hAnsi="TT Norms Pro Light"/>
                <w:sz w:val="20"/>
                <w:szCs w:val="20"/>
              </w:rPr>
              <w:t>s</w:t>
            </w:r>
            <w:r w:rsidRPr="00CA1A27">
              <w:rPr>
                <w:rFonts w:ascii="TT Norms Pro Light" w:hAnsi="TT Norms Pro Light"/>
                <w:sz w:val="20"/>
                <w:szCs w:val="20"/>
              </w:rPr>
              <w:t>: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2B5E897" w14:textId="77777777" w:rsidR="00967B7D" w:rsidRPr="00CA1A27" w:rsidRDefault="00967B7D" w:rsidP="001E731A">
            <w:pPr>
              <w:tabs>
                <w:tab w:val="left" w:pos="10875"/>
              </w:tabs>
              <w:rPr>
                <w:rFonts w:ascii="TT Norms Pro Light" w:hAnsi="TT Norms Pro Light"/>
              </w:rPr>
            </w:pPr>
            <w:r w:rsidRPr="00CA1A27">
              <w:rPr>
                <w:rFonts w:ascii="TT Norms Pro Light" w:hAnsi="TT Norms Pro Light"/>
                <w:sz w:val="20"/>
                <w:szCs w:val="20"/>
              </w:rPr>
              <w:t>Company Name: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7C0A045" w14:textId="77777777" w:rsidR="00967B7D" w:rsidRPr="00CA1A27" w:rsidRDefault="00967B7D" w:rsidP="001E731A">
            <w:pPr>
              <w:tabs>
                <w:tab w:val="left" w:pos="10875"/>
              </w:tabs>
              <w:rPr>
                <w:rFonts w:ascii="TT Norms Pro Light" w:hAnsi="TT Norms Pro Light"/>
              </w:rPr>
            </w:pPr>
            <w:r w:rsidRPr="00CA1A27">
              <w:rPr>
                <w:rFonts w:ascii="TT Norms Pro Light" w:hAnsi="TT Norms Pro Light"/>
                <w:sz w:val="20"/>
                <w:szCs w:val="20"/>
              </w:rPr>
              <w:t>Date</w:t>
            </w: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3D1660A" w14:textId="77777777" w:rsidR="00967B7D" w:rsidRPr="00CA1A27" w:rsidRDefault="00967B7D" w:rsidP="001E731A">
            <w:pPr>
              <w:tabs>
                <w:tab w:val="left" w:pos="10875"/>
              </w:tabs>
              <w:rPr>
                <w:rFonts w:ascii="TT Norms Pro Light" w:hAnsi="TT Norms Pro Light"/>
              </w:rPr>
            </w:pPr>
            <w:r w:rsidRPr="00CA1A27">
              <w:rPr>
                <w:rFonts w:ascii="TT Norms Pro Light" w:hAnsi="TT Norms Pro Light"/>
                <w:sz w:val="20"/>
                <w:szCs w:val="20"/>
              </w:rPr>
              <w:t>Document</w:t>
            </w:r>
          </w:p>
        </w:tc>
      </w:tr>
      <w:tr w:rsidR="00967B7D" w:rsidRPr="00CA1A27" w14:paraId="133BD986" w14:textId="77777777" w:rsidTr="00967B7D">
        <w:trPr>
          <w:cantSplit/>
          <w:tblHeader/>
        </w:trPr>
        <w:tc>
          <w:tcPr>
            <w:tcW w:w="13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2C99B" w14:textId="77777777" w:rsidR="00967B7D" w:rsidRDefault="00967B7D" w:rsidP="001E731A">
            <w:pPr>
              <w:tabs>
                <w:tab w:val="left" w:pos="10875"/>
              </w:tabs>
              <w:rPr>
                <w:rFonts w:ascii="TT Norms Pro Light" w:hAnsi="TT Norms Pro Light"/>
              </w:rPr>
            </w:pPr>
          </w:p>
          <w:p w14:paraId="20DD05ED" w14:textId="28CB4C4C" w:rsidR="00967B7D" w:rsidRDefault="00967B7D" w:rsidP="001E731A">
            <w:pPr>
              <w:tabs>
                <w:tab w:val="left" w:pos="10875"/>
              </w:tabs>
              <w:rPr>
                <w:rFonts w:ascii="TT Norms Pro Light" w:hAnsi="TT Norms Pro Light"/>
              </w:rPr>
            </w:pPr>
            <w:r w:rsidRPr="00656085">
              <w:rPr>
                <w:rFonts w:ascii="TT Norms Pro Light" w:hAnsi="TT Norms Pro Light"/>
                <w:b/>
                <w:bCs/>
              </w:rPr>
              <w:t>Barry Sharp</w:t>
            </w:r>
            <w:r>
              <w:rPr>
                <w:rFonts w:ascii="TT Norms Pro Light" w:hAnsi="TT Norms Pro Light"/>
              </w:rPr>
              <w:t>: Chair of SNIPEF Low Carbon Forum</w:t>
            </w:r>
          </w:p>
          <w:p w14:paraId="439D6094" w14:textId="774E6AB6" w:rsidR="00967B7D" w:rsidRDefault="00967B7D" w:rsidP="001E731A">
            <w:pPr>
              <w:tabs>
                <w:tab w:val="left" w:pos="10875"/>
              </w:tabs>
              <w:rPr>
                <w:rFonts w:ascii="TT Norms Pro Light" w:hAnsi="TT Norms Pro Light"/>
              </w:rPr>
            </w:pPr>
            <w:r w:rsidRPr="00656085">
              <w:rPr>
                <w:rFonts w:ascii="TT Norms Pro Light" w:hAnsi="TT Norms Pro Light"/>
                <w:b/>
                <w:bCs/>
              </w:rPr>
              <w:t>Scott Sanford</w:t>
            </w:r>
            <w:r>
              <w:rPr>
                <w:rFonts w:ascii="TT Norms Pro Light" w:hAnsi="TT Norms Pro Light"/>
              </w:rPr>
              <w:t>: SNIPEF Technical Manager</w:t>
            </w:r>
          </w:p>
          <w:p w14:paraId="3FF1761A" w14:textId="1AE68B7F" w:rsidR="00967B7D" w:rsidRDefault="00967B7D" w:rsidP="001E731A">
            <w:pPr>
              <w:tabs>
                <w:tab w:val="left" w:pos="10875"/>
              </w:tabs>
              <w:rPr>
                <w:rFonts w:ascii="TT Norms Pro Light" w:hAnsi="TT Norms Pro Light"/>
              </w:rPr>
            </w:pPr>
            <w:r>
              <w:rPr>
                <w:rFonts w:ascii="TT Norms Pro Light" w:hAnsi="TT Norms Pro Light"/>
              </w:rPr>
              <w:t>Fiona Hodgson: Chief Executive, SNIPEF</w:t>
            </w:r>
          </w:p>
          <w:p w14:paraId="4C910032" w14:textId="198239B7" w:rsidR="00967B7D" w:rsidRPr="00CA1A27" w:rsidRDefault="00967B7D" w:rsidP="001E731A">
            <w:pPr>
              <w:tabs>
                <w:tab w:val="left" w:pos="10875"/>
              </w:tabs>
              <w:rPr>
                <w:rFonts w:ascii="TT Norms Pro Light" w:hAnsi="TT Norms Pro Light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9057008" w14:textId="77777777" w:rsidR="00967B7D" w:rsidRDefault="00967B7D" w:rsidP="001E731A">
            <w:pPr>
              <w:tabs>
                <w:tab w:val="left" w:pos="10875"/>
              </w:tabs>
              <w:rPr>
                <w:rFonts w:ascii="TT Norms Pro Light" w:hAnsi="TT Norms Pro Light"/>
              </w:rPr>
            </w:pPr>
          </w:p>
          <w:p w14:paraId="71C1694F" w14:textId="6FA98BC1" w:rsidR="00967B7D" w:rsidRPr="00CA1A27" w:rsidRDefault="00967B7D" w:rsidP="001E731A">
            <w:pPr>
              <w:tabs>
                <w:tab w:val="left" w:pos="10875"/>
              </w:tabs>
              <w:rPr>
                <w:rFonts w:ascii="TT Norms Pro Light" w:hAnsi="TT Norms Pro Light"/>
              </w:rPr>
            </w:pPr>
            <w:r>
              <w:rPr>
                <w:rFonts w:ascii="TT Norms Pro Light" w:hAnsi="TT Norms Pro Light"/>
              </w:rPr>
              <w:t>Scottish and Northern Ireland Plumbing Employers Federation (SNIPEF)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AC405D7" w14:textId="77777777" w:rsidR="00967B7D" w:rsidRDefault="00967B7D" w:rsidP="001E731A">
            <w:pPr>
              <w:tabs>
                <w:tab w:val="left" w:pos="10875"/>
              </w:tabs>
              <w:rPr>
                <w:rFonts w:ascii="TT Norms Pro Light" w:hAnsi="TT Norms Pro Light"/>
              </w:rPr>
            </w:pPr>
          </w:p>
          <w:p w14:paraId="39ABB375" w14:textId="77777777" w:rsidR="00967B7D" w:rsidRDefault="00967B7D" w:rsidP="001E731A">
            <w:pPr>
              <w:tabs>
                <w:tab w:val="left" w:pos="10875"/>
              </w:tabs>
              <w:rPr>
                <w:rFonts w:ascii="TT Norms Pro Light" w:hAnsi="TT Norms Pro Light"/>
              </w:rPr>
            </w:pPr>
          </w:p>
          <w:p w14:paraId="0D41E231" w14:textId="77777777" w:rsidR="00967B7D" w:rsidRDefault="00967B7D" w:rsidP="001E731A">
            <w:pPr>
              <w:tabs>
                <w:tab w:val="left" w:pos="10875"/>
              </w:tabs>
              <w:rPr>
                <w:rFonts w:ascii="TT Norms Pro Light" w:hAnsi="TT Norms Pro Light"/>
              </w:rPr>
            </w:pPr>
          </w:p>
          <w:p w14:paraId="2A66FA55" w14:textId="338F2042" w:rsidR="00967B7D" w:rsidRPr="00CA1A27" w:rsidRDefault="00967B7D" w:rsidP="001E731A">
            <w:pPr>
              <w:tabs>
                <w:tab w:val="left" w:pos="10875"/>
              </w:tabs>
              <w:rPr>
                <w:rFonts w:ascii="TT Norms Pro Light" w:hAnsi="TT Norms Pro Light"/>
              </w:rPr>
            </w:pPr>
            <w:r>
              <w:rPr>
                <w:rFonts w:ascii="TT Norms Pro Light" w:hAnsi="TT Norms Pro Light"/>
              </w:rPr>
              <w:t>8 March 2024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E4EA4" w14:textId="5F1C5324" w:rsidR="00967B7D" w:rsidRPr="00CA1A27" w:rsidRDefault="00967B7D" w:rsidP="003F3C97">
            <w:pPr>
              <w:tabs>
                <w:tab w:val="left" w:pos="10875"/>
              </w:tabs>
              <w:spacing w:after="0" w:line="240" w:lineRule="auto"/>
              <w:rPr>
                <w:rFonts w:ascii="TT Norms Pro Light" w:hAnsi="TT Norms Pro Light"/>
              </w:rPr>
            </w:pPr>
            <w:r>
              <w:rPr>
                <w:rFonts w:ascii="TT Norms Pro Light" w:hAnsi="TT Norms Pro Light"/>
              </w:rPr>
              <w:t>MIS 3005-D</w:t>
            </w:r>
          </w:p>
        </w:tc>
      </w:tr>
    </w:tbl>
    <w:p w14:paraId="19F5FC98" w14:textId="06906D54" w:rsidR="009062A2" w:rsidRDefault="009062A2" w:rsidP="00FD4383">
      <w:pPr>
        <w:tabs>
          <w:tab w:val="left" w:pos="915"/>
        </w:tabs>
        <w:rPr>
          <w:rFonts w:ascii="TT Norms Pro Light" w:eastAsia="Calibri" w:hAnsi="TT Norms Pro Light"/>
          <w:sz w:val="18"/>
          <w:szCs w:val="18"/>
          <w:lang w:eastAsia="en-GB"/>
        </w:rPr>
      </w:pPr>
    </w:p>
    <w:p w14:paraId="0148EE77" w14:textId="77777777" w:rsidR="006E10A0" w:rsidRDefault="006E10A0" w:rsidP="00FD4383">
      <w:pPr>
        <w:tabs>
          <w:tab w:val="left" w:pos="915"/>
        </w:tabs>
        <w:rPr>
          <w:rFonts w:ascii="TT Norms Pro Light" w:eastAsia="Calibri" w:hAnsi="TT Norms Pro Light"/>
          <w:sz w:val="18"/>
          <w:szCs w:val="18"/>
          <w:lang w:eastAsia="en-GB"/>
        </w:rPr>
      </w:pPr>
    </w:p>
    <w:p w14:paraId="06167B05" w14:textId="4B9BACE8" w:rsidR="00604680" w:rsidRPr="00180E48" w:rsidRDefault="00604680" w:rsidP="00FD4383">
      <w:pPr>
        <w:tabs>
          <w:tab w:val="left" w:pos="915"/>
        </w:tabs>
        <w:rPr>
          <w:rFonts w:ascii="TT Norms Pro Light" w:eastAsia="Calibri" w:hAnsi="TT Norms Pro Light"/>
          <w:b/>
          <w:bCs/>
          <w:lang w:eastAsia="en-GB"/>
        </w:rPr>
      </w:pPr>
      <w:r w:rsidRPr="00180E48">
        <w:rPr>
          <w:rFonts w:ascii="TT Norms Pro Light" w:eastAsia="Calibri" w:hAnsi="TT Norms Pro Light"/>
          <w:b/>
          <w:bCs/>
          <w:lang w:eastAsia="en-GB"/>
        </w:rPr>
        <w:t>Consultation Questions</w:t>
      </w:r>
      <w:r w:rsidR="00781412" w:rsidRPr="00180E48">
        <w:rPr>
          <w:rFonts w:ascii="TT Norms Pro Light" w:eastAsia="Calibri" w:hAnsi="TT Norms Pro Light"/>
          <w:b/>
          <w:bCs/>
          <w:lang w:eastAsia="en-GB"/>
        </w:rPr>
        <w:t>:</w:t>
      </w:r>
    </w:p>
    <w:p w14:paraId="5B2E1436" w14:textId="280BC295" w:rsidR="00910962" w:rsidRPr="009C71E2" w:rsidRDefault="009C71E2" w:rsidP="00910962">
      <w:pPr>
        <w:pStyle w:val="ListParagraph"/>
        <w:numPr>
          <w:ilvl w:val="0"/>
          <w:numId w:val="11"/>
        </w:numPr>
        <w:rPr>
          <w:rFonts w:ascii="TT Norms Pro Light" w:hAnsi="TT Norms Pro Light"/>
        </w:rPr>
      </w:pPr>
      <w:r w:rsidRPr="009C71E2">
        <w:rPr>
          <w:rFonts w:ascii="TT Norms Pro Light" w:hAnsi="TT Norms Pro Light" w:cs="Arial"/>
          <w14:ligatures w14:val="standardContextual"/>
        </w:rPr>
        <w:t xml:space="preserve">Do you agree with the </w:t>
      </w:r>
      <w:r w:rsidR="00757867">
        <w:rPr>
          <w:rFonts w:ascii="TT Norms Pro Light" w:hAnsi="TT Norms Pro Light" w:cs="Arial"/>
          <w14:ligatures w14:val="standardContextual"/>
        </w:rPr>
        <w:t>amendments to the</w:t>
      </w:r>
      <w:r w:rsidRPr="009C71E2">
        <w:rPr>
          <w:rFonts w:ascii="TT Norms Pro Light" w:hAnsi="TT Norms Pro Light" w:cs="Arial"/>
          <w14:ligatures w14:val="standardContextual"/>
        </w:rPr>
        <w:t xml:space="preserve"> requirements for hybrid heat pump heating systems</w:t>
      </w:r>
      <w:r w:rsidR="00910962" w:rsidRPr="009C71E2">
        <w:rPr>
          <w:rFonts w:ascii="TT Norms Pro Light" w:hAnsi="TT Norms Pro Light"/>
        </w:rPr>
        <w:t>?</w:t>
      </w:r>
    </w:p>
    <w:p w14:paraId="18172C96" w14:textId="366FDB31" w:rsidR="00C6754D" w:rsidRPr="007B0EF9" w:rsidRDefault="00C6754D" w:rsidP="00910962">
      <w:pPr>
        <w:pStyle w:val="ListParagraph"/>
        <w:numPr>
          <w:ilvl w:val="1"/>
          <w:numId w:val="11"/>
        </w:numPr>
        <w:rPr>
          <w:rFonts w:ascii="TT Norms Pro Light" w:hAnsi="TT Norms Pro Light"/>
          <w:b/>
          <w:bCs/>
          <w:color w:val="FF0000"/>
        </w:rPr>
      </w:pPr>
      <w:r w:rsidRPr="007B0EF9">
        <w:rPr>
          <w:rFonts w:ascii="TT Norms Pro Light" w:hAnsi="TT Norms Pro Light"/>
          <w:b/>
          <w:bCs/>
          <w:color w:val="FF0000"/>
        </w:rPr>
        <w:t xml:space="preserve">Yes </w:t>
      </w:r>
    </w:p>
    <w:p w14:paraId="4C1625B2" w14:textId="2707DE37" w:rsidR="00C6754D" w:rsidRPr="00826216" w:rsidRDefault="00C6754D" w:rsidP="00C6754D">
      <w:pPr>
        <w:pStyle w:val="ListParagraph"/>
        <w:numPr>
          <w:ilvl w:val="1"/>
          <w:numId w:val="11"/>
        </w:numPr>
        <w:rPr>
          <w:rFonts w:ascii="TT Norms Pro Light" w:hAnsi="TT Norms Pro Light"/>
        </w:rPr>
      </w:pPr>
      <w:r w:rsidRPr="00826216">
        <w:rPr>
          <w:rFonts w:ascii="TT Norms Pro Light" w:hAnsi="TT Norms Pro Light"/>
        </w:rPr>
        <w:t>No (</w:t>
      </w:r>
      <w:r w:rsidR="00DD3254">
        <w:rPr>
          <w:rFonts w:ascii="TT Norms Pro Light" w:hAnsi="TT Norms Pro Light"/>
        </w:rPr>
        <w:t>please explain why</w:t>
      </w:r>
      <w:r w:rsidR="005B7F4A">
        <w:rPr>
          <w:rFonts w:ascii="TT Norms Pro Light" w:hAnsi="TT Norms Pro Light"/>
        </w:rPr>
        <w:t>)</w:t>
      </w:r>
      <w:r w:rsidRPr="00826216">
        <w:rPr>
          <w:rFonts w:ascii="TT Norms Pro Light" w:hAnsi="TT Norms Pro Light"/>
        </w:rPr>
        <w:t xml:space="preserve"> </w:t>
      </w:r>
    </w:p>
    <w:p w14:paraId="74A99E30" w14:textId="08B10824" w:rsidR="008C310F" w:rsidRPr="00826216" w:rsidRDefault="008C310F" w:rsidP="00C6754D">
      <w:pPr>
        <w:pStyle w:val="ListParagraph"/>
        <w:spacing w:after="0" w:line="240" w:lineRule="auto"/>
        <w:rPr>
          <w:rFonts w:ascii="TT Norms Pro" w:hAnsi="TT Norms Pro"/>
        </w:rPr>
      </w:pPr>
    </w:p>
    <w:tbl>
      <w:tblPr>
        <w:tblStyle w:val="TableGrid"/>
        <w:tblW w:w="4997" w:type="pct"/>
        <w:tblLook w:val="04A0" w:firstRow="1" w:lastRow="0" w:firstColumn="1" w:lastColumn="0" w:noHBand="0" w:noVBand="1"/>
      </w:tblPr>
      <w:tblGrid>
        <w:gridCol w:w="15379"/>
      </w:tblGrid>
      <w:tr w:rsidR="008C310F" w:rsidRPr="00826216" w14:paraId="493B8BDC" w14:textId="77777777" w:rsidTr="008C310F">
        <w:trPr>
          <w:trHeight w:val="1134"/>
        </w:trPr>
        <w:tc>
          <w:tcPr>
            <w:tcW w:w="5000" w:type="pct"/>
          </w:tcPr>
          <w:p w14:paraId="04185892" w14:textId="77777777" w:rsidR="007B0EF9" w:rsidRDefault="007B0EF9" w:rsidP="007B0EF9">
            <w:pPr>
              <w:spacing w:after="120" w:line="276" w:lineRule="auto"/>
              <w:rPr>
                <w:rFonts w:ascii="TT Norms Pro" w:hAnsi="TT Norms Pro"/>
              </w:rPr>
            </w:pPr>
            <w:r w:rsidRPr="007B0EF9">
              <w:rPr>
                <w:rFonts w:ascii="TT Norms Pro" w:hAnsi="TT Norms Pro"/>
              </w:rPr>
              <w:t>SNIPEF supports the proposed amendments to the requirements for hybrid heat pump heating systems, recogni</w:t>
            </w:r>
            <w:r>
              <w:rPr>
                <w:rFonts w:ascii="TT Norms Pro" w:hAnsi="TT Norms Pro"/>
              </w:rPr>
              <w:t>s</w:t>
            </w:r>
            <w:r w:rsidRPr="007B0EF9">
              <w:rPr>
                <w:rFonts w:ascii="TT Norms Pro" w:hAnsi="TT Norms Pro"/>
              </w:rPr>
              <w:t xml:space="preserve">ing their potential to enhance system efficiency, promote sustainability, and facilitate the transition to renewable energy sources. </w:t>
            </w:r>
          </w:p>
          <w:p w14:paraId="266662DA" w14:textId="3AD5754C" w:rsidR="007B0EF9" w:rsidRDefault="007B0EF9" w:rsidP="007B0EF9">
            <w:pPr>
              <w:spacing w:after="120" w:line="276" w:lineRule="auto"/>
              <w:rPr>
                <w:rFonts w:ascii="TT Norms Pro" w:hAnsi="TT Norms Pro"/>
              </w:rPr>
            </w:pPr>
            <w:r w:rsidRPr="007B0EF9">
              <w:rPr>
                <w:rFonts w:ascii="TT Norms Pro" w:hAnsi="TT Norms Pro"/>
              </w:rPr>
              <w:t xml:space="preserve">These changes are anticipated to streamline the adoption of heat pump technologies, aligning with </w:t>
            </w:r>
            <w:r w:rsidR="00180E48">
              <w:rPr>
                <w:rFonts w:ascii="TT Norms Pro" w:hAnsi="TT Norms Pro"/>
              </w:rPr>
              <w:t xml:space="preserve">SNIPEF/profession </w:t>
            </w:r>
            <w:r w:rsidRPr="007B0EF9">
              <w:rPr>
                <w:rFonts w:ascii="TT Norms Pro" w:hAnsi="TT Norms Pro"/>
              </w:rPr>
              <w:t>goals for</w:t>
            </w:r>
            <w:r w:rsidR="00180E48">
              <w:rPr>
                <w:rFonts w:ascii="TT Norms Pro" w:hAnsi="TT Norms Pro"/>
              </w:rPr>
              <w:t xml:space="preserve"> greater</w:t>
            </w:r>
            <w:r w:rsidRPr="007B0EF9">
              <w:rPr>
                <w:rFonts w:ascii="TT Norms Pro" w:hAnsi="TT Norms Pro"/>
              </w:rPr>
              <w:t xml:space="preserve"> environmental </w:t>
            </w:r>
            <w:r w:rsidR="00180E48">
              <w:rPr>
                <w:rFonts w:ascii="TT Norms Pro" w:hAnsi="TT Norms Pro"/>
              </w:rPr>
              <w:t xml:space="preserve">and sustainability awareness </w:t>
            </w:r>
            <w:r w:rsidRPr="007B0EF9">
              <w:rPr>
                <w:rFonts w:ascii="TT Norms Pro" w:hAnsi="TT Norms Pro"/>
              </w:rPr>
              <w:t xml:space="preserve">and energy efficiency. </w:t>
            </w:r>
          </w:p>
          <w:p w14:paraId="258061FA" w14:textId="152E6FE0" w:rsidR="008C310F" w:rsidRPr="00826216" w:rsidRDefault="00180E48" w:rsidP="007B0EF9">
            <w:pPr>
              <w:spacing w:after="120" w:line="276" w:lineRule="auto"/>
              <w:rPr>
                <w:rFonts w:ascii="TT Norms Pro" w:hAnsi="TT Norms Pro"/>
              </w:rPr>
            </w:pPr>
            <w:r>
              <w:rPr>
                <w:rFonts w:ascii="TT Norms Pro" w:hAnsi="TT Norms Pro"/>
              </w:rPr>
              <w:t>SNIPEF</w:t>
            </w:r>
            <w:r w:rsidR="007B0EF9" w:rsidRPr="007B0EF9">
              <w:rPr>
                <w:rFonts w:ascii="TT Norms Pro" w:hAnsi="TT Norms Pro"/>
              </w:rPr>
              <w:t xml:space="preserve"> believe</w:t>
            </w:r>
            <w:r>
              <w:rPr>
                <w:rFonts w:ascii="TT Norms Pro" w:hAnsi="TT Norms Pro"/>
              </w:rPr>
              <w:t>s</w:t>
            </w:r>
            <w:r w:rsidR="007B0EF9" w:rsidRPr="007B0EF9">
              <w:rPr>
                <w:rFonts w:ascii="TT Norms Pro" w:hAnsi="TT Norms Pro"/>
              </w:rPr>
              <w:t xml:space="preserve"> that the amendments offer a pragmatic approach to improving heating systems' performance, encouraging innovation, and meeting the government's installation targets. </w:t>
            </w:r>
            <w:r w:rsidR="007B0EF9">
              <w:rPr>
                <w:rFonts w:ascii="TT Norms Pro" w:hAnsi="TT Norms Pro"/>
              </w:rPr>
              <w:t xml:space="preserve"> </w:t>
            </w:r>
          </w:p>
        </w:tc>
      </w:tr>
    </w:tbl>
    <w:p w14:paraId="3A65F605" w14:textId="77777777" w:rsidR="00757867" w:rsidRDefault="00757867" w:rsidP="008C310F">
      <w:pPr>
        <w:spacing w:after="0" w:line="240" w:lineRule="auto"/>
        <w:rPr>
          <w:rFonts w:ascii="TT Norms Pro" w:hAnsi="TT Norms Pro"/>
        </w:rPr>
      </w:pPr>
    </w:p>
    <w:p w14:paraId="48709FBC" w14:textId="77777777" w:rsidR="004B407E" w:rsidRPr="00826216" w:rsidRDefault="004B407E" w:rsidP="008C310F">
      <w:pPr>
        <w:spacing w:after="0" w:line="240" w:lineRule="auto"/>
        <w:rPr>
          <w:rFonts w:ascii="TT Norms Pro" w:hAnsi="TT Norms Pro"/>
        </w:rPr>
      </w:pPr>
    </w:p>
    <w:p w14:paraId="270C71AE" w14:textId="6D6A3AEC" w:rsidR="00910962" w:rsidRPr="00910962" w:rsidRDefault="00910962" w:rsidP="002D533F">
      <w:pPr>
        <w:pStyle w:val="ListParagraph"/>
        <w:numPr>
          <w:ilvl w:val="0"/>
          <w:numId w:val="11"/>
        </w:numPr>
        <w:rPr>
          <w:rFonts w:ascii="TT Norms Pro Light" w:hAnsi="TT Norms Pro Light"/>
        </w:rPr>
      </w:pPr>
      <w:r w:rsidRPr="00910962">
        <w:rPr>
          <w:rFonts w:ascii="TT Norms Pro Light" w:hAnsi="TT Norms Pro Light"/>
        </w:rPr>
        <w:t>Do you agree with the definition of a hybrid heat pump system stated in 5.5.2?</w:t>
      </w:r>
    </w:p>
    <w:p w14:paraId="05662290" w14:textId="249CEF48" w:rsidR="00910962" w:rsidRPr="007B0EF9" w:rsidRDefault="00910962" w:rsidP="001B16EF">
      <w:pPr>
        <w:pStyle w:val="ListParagraph"/>
        <w:numPr>
          <w:ilvl w:val="1"/>
          <w:numId w:val="11"/>
        </w:numPr>
        <w:rPr>
          <w:rFonts w:ascii="TT Norms Pro Light" w:hAnsi="TT Norms Pro Light"/>
          <w:b/>
          <w:bCs/>
          <w:color w:val="FF0000"/>
        </w:rPr>
      </w:pPr>
      <w:r w:rsidRPr="007B0EF9">
        <w:rPr>
          <w:rFonts w:ascii="TT Norms Pro Light" w:hAnsi="TT Norms Pro Light"/>
          <w:b/>
          <w:bCs/>
          <w:color w:val="FF0000"/>
        </w:rPr>
        <w:t xml:space="preserve">Yes </w:t>
      </w:r>
    </w:p>
    <w:p w14:paraId="3A48AF47" w14:textId="77777777" w:rsidR="00910962" w:rsidRPr="00826216" w:rsidRDefault="00910962" w:rsidP="00910962">
      <w:pPr>
        <w:pStyle w:val="ListParagraph"/>
        <w:numPr>
          <w:ilvl w:val="1"/>
          <w:numId w:val="11"/>
        </w:numPr>
        <w:rPr>
          <w:rFonts w:ascii="TT Norms Pro Light" w:hAnsi="TT Norms Pro Light"/>
        </w:rPr>
      </w:pPr>
      <w:r w:rsidRPr="00826216">
        <w:rPr>
          <w:rFonts w:ascii="TT Norms Pro Light" w:hAnsi="TT Norms Pro Light"/>
        </w:rPr>
        <w:t>No (</w:t>
      </w:r>
      <w:r>
        <w:rPr>
          <w:rFonts w:ascii="TT Norms Pro Light" w:hAnsi="TT Norms Pro Light"/>
        </w:rPr>
        <w:t>please explain why)</w:t>
      </w:r>
      <w:r w:rsidRPr="00826216">
        <w:rPr>
          <w:rFonts w:ascii="TT Norms Pro Light" w:hAnsi="TT Norms Pro Light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2D533F" w:rsidRPr="00826216" w14:paraId="2F3A503D" w14:textId="77777777" w:rsidTr="00607846">
        <w:trPr>
          <w:trHeight w:val="1134"/>
        </w:trPr>
        <w:tc>
          <w:tcPr>
            <w:tcW w:w="15388" w:type="dxa"/>
          </w:tcPr>
          <w:p w14:paraId="1BFDA27F" w14:textId="318693BB" w:rsidR="007B0EF9" w:rsidRDefault="007B0EF9" w:rsidP="007B0EF9">
            <w:pPr>
              <w:spacing w:after="120" w:line="276" w:lineRule="auto"/>
              <w:rPr>
                <w:rFonts w:ascii="TT Norms Pro" w:hAnsi="TT Norms Pro"/>
              </w:rPr>
            </w:pPr>
            <w:r w:rsidRPr="007B0EF9">
              <w:rPr>
                <w:rFonts w:ascii="TT Norms Pro" w:hAnsi="TT Norms Pro"/>
              </w:rPr>
              <w:lastRenderedPageBreak/>
              <w:t xml:space="preserve">SNIPEF supports the definition of a hybrid heat pump system. </w:t>
            </w:r>
          </w:p>
          <w:p w14:paraId="598EE172" w14:textId="77777777" w:rsidR="007B0EF9" w:rsidRDefault="007B0EF9" w:rsidP="007B0EF9">
            <w:pPr>
              <w:spacing w:after="120" w:line="276" w:lineRule="auto"/>
              <w:rPr>
                <w:rFonts w:ascii="TT Norms Pro" w:hAnsi="TT Norms Pro"/>
              </w:rPr>
            </w:pPr>
            <w:r w:rsidRPr="007B0EF9">
              <w:rPr>
                <w:rFonts w:ascii="TT Norms Pro" w:hAnsi="TT Norms Pro"/>
              </w:rPr>
              <w:t xml:space="preserve">We find it accurately reflects the integration of heat pump technology with supplementary heating, providing a clear standard for industry adherence. This definition ensures uniform understanding and supports the deployment of efficient, sustainable heating solutions. </w:t>
            </w:r>
          </w:p>
          <w:p w14:paraId="18AFE6EA" w14:textId="1F45AD2B" w:rsidR="002D533F" w:rsidRPr="00826216" w:rsidRDefault="00180E48" w:rsidP="007B0EF9">
            <w:pPr>
              <w:spacing w:after="120" w:line="276" w:lineRule="auto"/>
              <w:rPr>
                <w:rFonts w:ascii="TT Norms Pro" w:hAnsi="TT Norms Pro"/>
              </w:rPr>
            </w:pPr>
            <w:r>
              <w:rPr>
                <w:rFonts w:ascii="TT Norms Pro" w:hAnsi="TT Norms Pro"/>
              </w:rPr>
              <w:t>SNIPEF</w:t>
            </w:r>
            <w:r w:rsidR="007B0EF9" w:rsidRPr="007B0EF9">
              <w:rPr>
                <w:rFonts w:ascii="TT Norms Pro" w:hAnsi="TT Norms Pro"/>
              </w:rPr>
              <w:t xml:space="preserve"> endorse</w:t>
            </w:r>
            <w:r>
              <w:rPr>
                <w:rFonts w:ascii="TT Norms Pro" w:hAnsi="TT Norms Pro"/>
              </w:rPr>
              <w:t>s</w:t>
            </w:r>
            <w:r w:rsidR="007B0EF9" w:rsidRPr="007B0EF9">
              <w:rPr>
                <w:rFonts w:ascii="TT Norms Pro" w:hAnsi="TT Norms Pro"/>
              </w:rPr>
              <w:t xml:space="preserve"> this clarity in standards for promoting innovation and environmental sustainability within the heating sector.</w:t>
            </w:r>
          </w:p>
        </w:tc>
      </w:tr>
    </w:tbl>
    <w:p w14:paraId="298F9C77" w14:textId="716E0B8A" w:rsidR="001A6852" w:rsidRDefault="001A6852" w:rsidP="00705F47">
      <w:pPr>
        <w:spacing w:after="0"/>
        <w:rPr>
          <w:rFonts w:ascii="TT Norms Pro" w:eastAsia="Times New Roman" w:hAnsi="TT Norms Pro" w:cs="Arial"/>
          <w:b/>
          <w:bCs/>
          <w:sz w:val="20"/>
          <w:szCs w:val="20"/>
          <w:lang w:eastAsia="zh-CN"/>
        </w:rPr>
      </w:pPr>
    </w:p>
    <w:p w14:paraId="6DA13CAB" w14:textId="3F0372C8" w:rsidR="00616DCE" w:rsidRDefault="00616DCE" w:rsidP="00616DCE">
      <w:pPr>
        <w:pStyle w:val="NormalWeb"/>
        <w:spacing w:before="0" w:beforeAutospacing="0" w:after="0" w:afterAutospacing="0"/>
      </w:pPr>
    </w:p>
    <w:p w14:paraId="776D9C78" w14:textId="09D54C88" w:rsidR="00CD07D2" w:rsidRPr="00616DCE" w:rsidRDefault="00616DCE" w:rsidP="00CD07D2">
      <w:pPr>
        <w:pStyle w:val="ListParagraph"/>
        <w:numPr>
          <w:ilvl w:val="0"/>
          <w:numId w:val="11"/>
        </w:numPr>
        <w:spacing w:after="0" w:line="240" w:lineRule="auto"/>
        <w:rPr>
          <w:rFonts w:ascii="TT Norms Pro Light" w:hAnsi="TT Norms Pro Light"/>
        </w:rPr>
      </w:pPr>
      <w:r>
        <w:rPr>
          <w:rFonts w:ascii="TT Norms Pro Light" w:hAnsi="TT Norms Pro Light"/>
        </w:rPr>
        <w:t xml:space="preserve">5.5.2 d), Do you agree with the minimum contribution from the heat pump being 55% </w:t>
      </w:r>
      <w:r w:rsidR="00CC6556">
        <w:rPr>
          <w:rFonts w:ascii="TT Norms Pro Light" w:hAnsi="TT Norms Pro Light"/>
        </w:rPr>
        <w:t xml:space="preserve">kW </w:t>
      </w:r>
      <w:r>
        <w:rPr>
          <w:rFonts w:ascii="TT Norms Pro Light" w:hAnsi="TT Norms Pro Light"/>
        </w:rPr>
        <w:t xml:space="preserve">of the peak output at design condition at a 55 degree </w:t>
      </w:r>
      <w:r w:rsidR="00757867">
        <w:rPr>
          <w:rFonts w:ascii="TT Norms Pro Light" w:hAnsi="TT Norms Pro Light"/>
        </w:rPr>
        <w:t xml:space="preserve">C </w:t>
      </w:r>
      <w:r>
        <w:rPr>
          <w:rFonts w:ascii="TT Norms Pro Light" w:hAnsi="TT Norms Pro Light"/>
        </w:rPr>
        <w:t>flow temperature?</w:t>
      </w:r>
    </w:p>
    <w:p w14:paraId="4D982EB3" w14:textId="2AC08F8F" w:rsidR="00616DCE" w:rsidRPr="00826216" w:rsidRDefault="00616DCE" w:rsidP="001B16EF">
      <w:pPr>
        <w:pStyle w:val="ListParagraph"/>
        <w:numPr>
          <w:ilvl w:val="1"/>
          <w:numId w:val="11"/>
        </w:numPr>
        <w:rPr>
          <w:rFonts w:ascii="TT Norms Pro Light" w:hAnsi="TT Norms Pro Light"/>
        </w:rPr>
      </w:pPr>
      <w:r w:rsidRPr="00826216">
        <w:rPr>
          <w:rFonts w:ascii="TT Norms Pro Light" w:hAnsi="TT Norms Pro Light"/>
        </w:rPr>
        <w:t xml:space="preserve">Yes </w:t>
      </w:r>
    </w:p>
    <w:p w14:paraId="624476A5" w14:textId="77777777" w:rsidR="00616DCE" w:rsidRPr="007B0EF9" w:rsidRDefault="00616DCE" w:rsidP="00616DCE">
      <w:pPr>
        <w:pStyle w:val="ListParagraph"/>
        <w:numPr>
          <w:ilvl w:val="1"/>
          <w:numId w:val="11"/>
        </w:numPr>
        <w:rPr>
          <w:rFonts w:ascii="TT Norms Pro Light" w:hAnsi="TT Norms Pro Light"/>
          <w:b/>
          <w:bCs/>
          <w:color w:val="FF0000"/>
        </w:rPr>
      </w:pPr>
      <w:r w:rsidRPr="007B0EF9">
        <w:rPr>
          <w:rFonts w:ascii="TT Norms Pro Light" w:hAnsi="TT Norms Pro Light"/>
          <w:b/>
          <w:bCs/>
          <w:color w:val="FF0000"/>
        </w:rPr>
        <w:t xml:space="preserve">No (please explain why) </w:t>
      </w:r>
    </w:p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616DCE" w:rsidRPr="00826216" w14:paraId="1F3E6C94" w14:textId="77777777" w:rsidTr="001B16EF">
        <w:trPr>
          <w:trHeight w:val="1134"/>
        </w:trPr>
        <w:tc>
          <w:tcPr>
            <w:tcW w:w="15388" w:type="dxa"/>
          </w:tcPr>
          <w:p w14:paraId="294DB72A" w14:textId="5B94E143" w:rsidR="007B0EF9" w:rsidRDefault="007B0EF9" w:rsidP="007B0EF9">
            <w:pPr>
              <w:spacing w:after="120" w:line="276" w:lineRule="auto"/>
              <w:rPr>
                <w:rFonts w:ascii="TT Norms Pro" w:hAnsi="TT Norms Pro"/>
              </w:rPr>
            </w:pPr>
            <w:r>
              <w:rPr>
                <w:rFonts w:ascii="TT Norms Pro" w:hAnsi="TT Norms Pro"/>
              </w:rPr>
              <w:t xml:space="preserve">SNIPEF does not agree with </w:t>
            </w:r>
            <w:r w:rsidRPr="007B0EF9">
              <w:rPr>
                <w:rFonts w:ascii="TT Norms Pro" w:hAnsi="TT Norms Pro"/>
              </w:rPr>
              <w:t xml:space="preserve">the minimum heat pump contribution of 55% at a 55°C flow temperature. We believe an 80% threshold aligns better with long-term sustainability goals and the push for greater reliance on renewable energy. </w:t>
            </w:r>
          </w:p>
          <w:p w14:paraId="1AE5A755" w14:textId="77777777" w:rsidR="007B0EF9" w:rsidRDefault="007B0EF9" w:rsidP="007B0EF9">
            <w:pPr>
              <w:spacing w:after="120" w:line="276" w:lineRule="auto"/>
              <w:rPr>
                <w:rFonts w:ascii="TT Norms Pro" w:hAnsi="TT Norms Pro"/>
              </w:rPr>
            </w:pPr>
            <w:r w:rsidRPr="007B0EF9">
              <w:rPr>
                <w:rFonts w:ascii="TT Norms Pro" w:hAnsi="TT Norms Pro"/>
              </w:rPr>
              <w:t xml:space="preserve">This higher standard encourages innovation, drives technological advancements in heat pump efficiency, and significantly reduces carbon emissions. Setting the bar at 55% may shortchange the potential for energy savings and environmental impact. </w:t>
            </w:r>
          </w:p>
          <w:p w14:paraId="7F6AAE84" w14:textId="77777777" w:rsidR="007B0EF9" w:rsidRDefault="007B0EF9" w:rsidP="007B0EF9">
            <w:pPr>
              <w:spacing w:after="120" w:line="276" w:lineRule="auto"/>
              <w:rPr>
                <w:rFonts w:ascii="TT Norms Pro" w:hAnsi="TT Norms Pro"/>
              </w:rPr>
            </w:pPr>
            <w:r w:rsidRPr="007B0EF9">
              <w:rPr>
                <w:rFonts w:ascii="TT Norms Pro" w:hAnsi="TT Norms Pro"/>
              </w:rPr>
              <w:t xml:space="preserve">An 80% minimum ensures heating systems are forward-thinking, promoting a swift transition towards more sustainable solutions and supporting the government's target for heat pump installations. </w:t>
            </w:r>
          </w:p>
          <w:p w14:paraId="39CD979E" w14:textId="23CD8B19" w:rsidR="00616DCE" w:rsidRPr="00826216" w:rsidRDefault="007B0EF9" w:rsidP="007B0EF9">
            <w:pPr>
              <w:spacing w:after="120" w:line="276" w:lineRule="auto"/>
              <w:rPr>
                <w:rFonts w:ascii="TT Norms Pro" w:hAnsi="TT Norms Pro"/>
              </w:rPr>
            </w:pPr>
            <w:r>
              <w:rPr>
                <w:rFonts w:ascii="TT Norms Pro" w:hAnsi="TT Norms Pro"/>
              </w:rPr>
              <w:t>SNIPEF</w:t>
            </w:r>
            <w:r w:rsidRPr="007B0EF9">
              <w:rPr>
                <w:rFonts w:ascii="TT Norms Pro" w:hAnsi="TT Norms Pro"/>
              </w:rPr>
              <w:t xml:space="preserve"> advocate</w:t>
            </w:r>
            <w:r>
              <w:rPr>
                <w:rFonts w:ascii="TT Norms Pro" w:hAnsi="TT Norms Pro"/>
              </w:rPr>
              <w:t>s</w:t>
            </w:r>
            <w:r w:rsidRPr="007B0EF9">
              <w:rPr>
                <w:rFonts w:ascii="TT Norms Pro" w:hAnsi="TT Norms Pro"/>
              </w:rPr>
              <w:t xml:space="preserve"> for this adjustment to foster a robust commitment to energy efficiency and environmental stewardship, marking a vital step in our journey towards a</w:t>
            </w:r>
            <w:r>
              <w:rPr>
                <w:rFonts w:ascii="TT Norms Pro" w:hAnsi="TT Norms Pro"/>
              </w:rPr>
              <w:t xml:space="preserve"> </w:t>
            </w:r>
            <w:r w:rsidRPr="007B0EF9">
              <w:rPr>
                <w:rFonts w:ascii="TT Norms Pro" w:hAnsi="TT Norms Pro"/>
              </w:rPr>
              <w:t>greener future.</w:t>
            </w:r>
          </w:p>
        </w:tc>
      </w:tr>
    </w:tbl>
    <w:p w14:paraId="71CABDA4" w14:textId="77777777" w:rsidR="00616DCE" w:rsidRPr="00616DCE" w:rsidRDefault="00616DCE" w:rsidP="00616DCE">
      <w:pPr>
        <w:rPr>
          <w:rFonts w:ascii="TT Norms Pro Light" w:hAnsi="TT Norms Pro Light"/>
        </w:rPr>
      </w:pPr>
    </w:p>
    <w:p w14:paraId="4C7A8CFA" w14:textId="4B552E79" w:rsidR="00616DCE" w:rsidRDefault="00616DCE" w:rsidP="00616DCE">
      <w:pPr>
        <w:pStyle w:val="ListParagraph"/>
        <w:numPr>
          <w:ilvl w:val="0"/>
          <w:numId w:val="11"/>
        </w:numPr>
        <w:rPr>
          <w:rFonts w:ascii="TT Norms Pro Light" w:hAnsi="TT Norms Pro Light"/>
        </w:rPr>
      </w:pPr>
      <w:r>
        <w:rPr>
          <w:rFonts w:ascii="TT Norms Pro Light" w:hAnsi="TT Norms Pro Light"/>
        </w:rPr>
        <w:t xml:space="preserve">5.5.2 e) </w:t>
      </w:r>
      <w:r w:rsidRPr="00616DCE">
        <w:rPr>
          <w:rFonts w:ascii="TT Norms Pro Light" w:hAnsi="TT Norms Pro Light"/>
        </w:rPr>
        <w:t>Do you agree with this</w:t>
      </w:r>
      <w:r w:rsidR="00757867">
        <w:rPr>
          <w:rFonts w:ascii="TT Norms Pro Light" w:hAnsi="TT Norms Pro Light"/>
        </w:rPr>
        <w:t xml:space="preserve"> amended</w:t>
      </w:r>
      <w:r w:rsidRPr="00616DCE">
        <w:rPr>
          <w:rFonts w:ascii="TT Norms Pro Light" w:hAnsi="TT Norms Pro Light"/>
        </w:rPr>
        <w:t xml:space="preserve"> </w:t>
      </w:r>
      <w:proofErr w:type="gramStart"/>
      <w:r w:rsidRPr="00616DCE">
        <w:rPr>
          <w:rFonts w:ascii="TT Norms Pro Light" w:hAnsi="TT Norms Pro Light"/>
        </w:rPr>
        <w:t>language</w:t>
      </w:r>
      <w:proofErr w:type="gramEnd"/>
      <w:r w:rsidRPr="00616DCE">
        <w:rPr>
          <w:rFonts w:ascii="TT Norms Pro Light" w:hAnsi="TT Norms Pro Light"/>
        </w:rPr>
        <w:t xml:space="preserve"> or do you think the heat pump should always be prioritised?</w:t>
      </w:r>
    </w:p>
    <w:p w14:paraId="303022A8" w14:textId="61162CC6" w:rsidR="00616DCE" w:rsidRPr="006770A3" w:rsidRDefault="00616DCE" w:rsidP="00616DCE">
      <w:pPr>
        <w:pStyle w:val="ListParagraph"/>
        <w:numPr>
          <w:ilvl w:val="1"/>
          <w:numId w:val="11"/>
        </w:numPr>
        <w:rPr>
          <w:rFonts w:ascii="TT Norms Pro Light" w:hAnsi="TT Norms Pro Light"/>
          <w:b/>
          <w:bCs/>
          <w:color w:val="FF0000"/>
        </w:rPr>
      </w:pPr>
      <w:r w:rsidRPr="006770A3">
        <w:rPr>
          <w:rFonts w:ascii="TT Norms Pro Light" w:hAnsi="TT Norms Pro Light"/>
          <w:b/>
          <w:bCs/>
          <w:color w:val="FF0000"/>
        </w:rPr>
        <w:t>Yes</w:t>
      </w:r>
    </w:p>
    <w:p w14:paraId="41AE5FAC" w14:textId="77777777" w:rsidR="00616DCE" w:rsidRPr="006770A3" w:rsidRDefault="00616DCE" w:rsidP="00616DCE">
      <w:pPr>
        <w:pStyle w:val="ListParagraph"/>
        <w:numPr>
          <w:ilvl w:val="1"/>
          <w:numId w:val="11"/>
        </w:numPr>
        <w:rPr>
          <w:rFonts w:ascii="TT Norms Pro Light" w:hAnsi="TT Norms Pro Light"/>
        </w:rPr>
      </w:pPr>
      <w:r w:rsidRPr="006770A3">
        <w:rPr>
          <w:rFonts w:ascii="TT Norms Pro Light" w:hAnsi="TT Norms Pro Light"/>
        </w:rPr>
        <w:t xml:space="preserve">No (please explain why) </w:t>
      </w:r>
    </w:p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3C76A7" w:rsidRPr="00826216" w14:paraId="44AABE9A" w14:textId="77777777" w:rsidTr="001B16EF">
        <w:trPr>
          <w:trHeight w:val="1134"/>
        </w:trPr>
        <w:tc>
          <w:tcPr>
            <w:tcW w:w="15388" w:type="dxa"/>
          </w:tcPr>
          <w:p w14:paraId="2C16DF14" w14:textId="3CC0CEB5" w:rsidR="006770A3" w:rsidRPr="006770A3" w:rsidRDefault="006770A3" w:rsidP="006770A3">
            <w:pPr>
              <w:spacing w:after="120" w:line="276" w:lineRule="auto"/>
              <w:rPr>
                <w:rFonts w:ascii="TT Norms Pro" w:hAnsi="TT Norms Pro"/>
              </w:rPr>
            </w:pPr>
            <w:r w:rsidRPr="006770A3">
              <w:rPr>
                <w:rFonts w:ascii="TT Norms Pro" w:hAnsi="TT Norms Pro"/>
              </w:rPr>
              <w:t xml:space="preserve">SNIPEF supports the revised language, </w:t>
            </w:r>
            <w:r>
              <w:rPr>
                <w:rFonts w:ascii="TT Norms Pro" w:hAnsi="TT Norms Pro"/>
              </w:rPr>
              <w:t>recognising</w:t>
            </w:r>
            <w:r w:rsidRPr="006770A3">
              <w:rPr>
                <w:rFonts w:ascii="TT Norms Pro" w:hAnsi="TT Norms Pro"/>
              </w:rPr>
              <w:t xml:space="preserve"> the importance of a mandatory requirement </w:t>
            </w:r>
            <w:r>
              <w:rPr>
                <w:rFonts w:ascii="TT Norms Pro" w:hAnsi="TT Norms Pro"/>
              </w:rPr>
              <w:t>to ensure that heat pumps can provide</w:t>
            </w:r>
            <w:r w:rsidRPr="006770A3">
              <w:rPr>
                <w:rFonts w:ascii="TT Norms Pro" w:hAnsi="TT Norms Pro"/>
              </w:rPr>
              <w:t xml:space="preserve"> at least 100% of the calculated heat loss. This change aligns with our commitment to rigorous energy efficiency standards and the broader objective of </w:t>
            </w:r>
            <w:r>
              <w:rPr>
                <w:rFonts w:ascii="TT Norms Pro" w:hAnsi="TT Norms Pro"/>
              </w:rPr>
              <w:t>decarbonisation</w:t>
            </w:r>
            <w:r w:rsidRPr="006770A3">
              <w:rPr>
                <w:rFonts w:ascii="TT Norms Pro" w:hAnsi="TT Norms Pro"/>
              </w:rPr>
              <w:t>.</w:t>
            </w:r>
          </w:p>
          <w:p w14:paraId="244AB513" w14:textId="77777777" w:rsidR="006770A3" w:rsidRDefault="006770A3" w:rsidP="006770A3">
            <w:pPr>
              <w:spacing w:after="120" w:line="276" w:lineRule="auto"/>
              <w:rPr>
                <w:rFonts w:ascii="TT Norms Pro" w:hAnsi="TT Norms Pro"/>
              </w:rPr>
            </w:pPr>
            <w:r w:rsidRPr="006770A3">
              <w:rPr>
                <w:rFonts w:ascii="TT Norms Pro" w:hAnsi="TT Norms Pro"/>
              </w:rPr>
              <w:t xml:space="preserve">Mandating the selection of heat pumps that can fully meet a building's heating needs without supplementary electric heating underscores the industry's move towards sustainable, low-carbon solutions. While we acknowledge the importance of flexibility in system design, the urgency of addressing climate change and meeting ambitious carbon reduction targets necessitates a decisive approach. </w:t>
            </w:r>
          </w:p>
          <w:p w14:paraId="2978E250" w14:textId="238E3698" w:rsidR="006770A3" w:rsidRPr="006770A3" w:rsidRDefault="006770A3" w:rsidP="006770A3">
            <w:pPr>
              <w:spacing w:after="120" w:line="276" w:lineRule="auto"/>
              <w:rPr>
                <w:rFonts w:ascii="TT Norms Pro" w:hAnsi="TT Norms Pro"/>
              </w:rPr>
            </w:pPr>
            <w:r w:rsidRPr="006770A3">
              <w:rPr>
                <w:rFonts w:ascii="TT Norms Pro" w:hAnsi="TT Norms Pro"/>
              </w:rPr>
              <w:lastRenderedPageBreak/>
              <w:t>By making this requirement mandatory, we ensure a consistent, high level of performance across all new installations, driving innovation and encouraging the development of more efficient heat pump technologies.</w:t>
            </w:r>
          </w:p>
          <w:p w14:paraId="6EF4E965" w14:textId="5760834D" w:rsidR="00F56E0B" w:rsidRPr="00826216" w:rsidRDefault="006770A3" w:rsidP="006770A3">
            <w:pPr>
              <w:spacing w:after="120" w:line="276" w:lineRule="auto"/>
              <w:rPr>
                <w:rFonts w:ascii="TT Norms Pro" w:hAnsi="TT Norms Pro"/>
              </w:rPr>
            </w:pPr>
            <w:r w:rsidRPr="006770A3">
              <w:rPr>
                <w:rFonts w:ascii="TT Norms Pro" w:hAnsi="TT Norms Pro"/>
              </w:rPr>
              <w:t>SNIPEF believes that adopting "</w:t>
            </w:r>
            <w:r w:rsidRPr="006770A3">
              <w:rPr>
                <w:rFonts w:ascii="TT Norms Pro" w:hAnsi="TT Norms Pro"/>
                <w:b/>
                <w:bCs/>
                <w:color w:val="FF0000"/>
              </w:rPr>
              <w:t>shall</w:t>
            </w:r>
            <w:r w:rsidRPr="006770A3">
              <w:rPr>
                <w:rFonts w:ascii="TT Norms Pro" w:hAnsi="TT Norms Pro"/>
              </w:rPr>
              <w:t>" in this context is crucial for accelerating the transition to energy-efficient heating systems</w:t>
            </w:r>
            <w:r>
              <w:rPr>
                <w:rFonts w:ascii="TT Norms Pro" w:hAnsi="TT Norms Pro"/>
              </w:rPr>
              <w:t>. This will ultimately reduce fossil fuel dependence and enhance</w:t>
            </w:r>
            <w:r w:rsidRPr="006770A3">
              <w:rPr>
                <w:rFonts w:ascii="TT Norms Pro" w:hAnsi="TT Norms Pro"/>
              </w:rPr>
              <w:t xml:space="preserve"> the UK's energy security.</w:t>
            </w:r>
          </w:p>
        </w:tc>
      </w:tr>
    </w:tbl>
    <w:p w14:paraId="7FB69566" w14:textId="77777777" w:rsidR="004B407E" w:rsidRPr="003C76A7" w:rsidRDefault="004B407E" w:rsidP="003C76A7">
      <w:pPr>
        <w:rPr>
          <w:rFonts w:ascii="TT Norms Pro Light" w:hAnsi="TT Norms Pro Light"/>
        </w:rPr>
      </w:pPr>
    </w:p>
    <w:p w14:paraId="733AC1F7" w14:textId="3F3D078A" w:rsidR="00616DCE" w:rsidRDefault="003C76A7" w:rsidP="00616DCE">
      <w:pPr>
        <w:pStyle w:val="ListParagraph"/>
        <w:numPr>
          <w:ilvl w:val="0"/>
          <w:numId w:val="11"/>
        </w:numPr>
        <w:rPr>
          <w:rFonts w:ascii="TT Norms Pro Light" w:hAnsi="TT Norms Pro Light"/>
        </w:rPr>
      </w:pPr>
      <w:r>
        <w:rPr>
          <w:rFonts w:ascii="TT Norms Pro Light" w:hAnsi="TT Norms Pro Light"/>
        </w:rPr>
        <w:t xml:space="preserve">5.5.2 f), </w:t>
      </w:r>
      <w:r w:rsidRPr="003C76A7">
        <w:rPr>
          <w:rFonts w:ascii="TT Norms Pro Light" w:hAnsi="TT Norms Pro Light"/>
        </w:rPr>
        <w:t>Should we set a minimum of how much the heat supplied should be from the heat pump?</w:t>
      </w:r>
    </w:p>
    <w:p w14:paraId="012712E4" w14:textId="77777777" w:rsidR="003C76A7" w:rsidRPr="00180E48" w:rsidRDefault="003C76A7" w:rsidP="003C76A7">
      <w:pPr>
        <w:pStyle w:val="ListParagraph"/>
        <w:numPr>
          <w:ilvl w:val="1"/>
          <w:numId w:val="11"/>
        </w:numPr>
        <w:rPr>
          <w:rFonts w:ascii="TT Norms Pro Light" w:hAnsi="TT Norms Pro Light"/>
          <w:b/>
          <w:bCs/>
          <w:color w:val="FF0000"/>
        </w:rPr>
      </w:pPr>
      <w:r w:rsidRPr="00180E48">
        <w:rPr>
          <w:rFonts w:ascii="TT Norms Pro Light" w:hAnsi="TT Norms Pro Light"/>
          <w:b/>
          <w:bCs/>
          <w:color w:val="FF0000"/>
        </w:rPr>
        <w:t>Yes (please explain why)</w:t>
      </w:r>
    </w:p>
    <w:p w14:paraId="284F3167" w14:textId="3F9352C7" w:rsidR="003C76A7" w:rsidRPr="003C76A7" w:rsidRDefault="003C76A7" w:rsidP="003C76A7">
      <w:pPr>
        <w:pStyle w:val="ListParagraph"/>
        <w:numPr>
          <w:ilvl w:val="1"/>
          <w:numId w:val="11"/>
        </w:numPr>
        <w:rPr>
          <w:rFonts w:ascii="TT Norms Pro Light" w:hAnsi="TT Norms Pro Light"/>
        </w:rPr>
      </w:pPr>
      <w:r w:rsidRPr="00826216">
        <w:rPr>
          <w:rFonts w:ascii="TT Norms Pro Light" w:hAnsi="TT Norms Pro Light"/>
        </w:rPr>
        <w:t>No (</w:t>
      </w:r>
      <w:r>
        <w:rPr>
          <w:rFonts w:ascii="TT Norms Pro Light" w:hAnsi="TT Norms Pro Light"/>
        </w:rPr>
        <w:t>please explain why)</w:t>
      </w:r>
      <w:r w:rsidRPr="00826216">
        <w:rPr>
          <w:rFonts w:ascii="TT Norms Pro Light" w:hAnsi="TT Norms Pro Light"/>
        </w:rPr>
        <w:t xml:space="preserve"> </w:t>
      </w:r>
    </w:p>
    <w:p w14:paraId="59481711" w14:textId="3DA9D70B" w:rsidR="00180E48" w:rsidRDefault="00180E48"/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3C76A7" w:rsidRPr="00826216" w14:paraId="33DB8E97" w14:textId="77777777" w:rsidTr="001B16EF">
        <w:trPr>
          <w:trHeight w:val="1134"/>
        </w:trPr>
        <w:tc>
          <w:tcPr>
            <w:tcW w:w="15388" w:type="dxa"/>
          </w:tcPr>
          <w:p w14:paraId="7729CB7B" w14:textId="2B8CF2B7" w:rsidR="00180E48" w:rsidRDefault="00180E48" w:rsidP="00180E48">
            <w:pPr>
              <w:spacing w:after="120" w:line="276" w:lineRule="auto"/>
              <w:rPr>
                <w:rFonts w:ascii="TT Norms Pro" w:hAnsi="TT Norms Pro"/>
              </w:rPr>
            </w:pPr>
            <w:r w:rsidRPr="00180E48">
              <w:rPr>
                <w:rFonts w:ascii="TT Norms Pro" w:hAnsi="TT Norms Pro"/>
              </w:rPr>
              <w:t>SNIPEF supports setting a minimum threshold for the heat pump's contribution in hybrid systems, advocating for a standard that promotes sustainability and efficiency.</w:t>
            </w:r>
          </w:p>
          <w:p w14:paraId="7E35DF73" w14:textId="516A99F3" w:rsidR="00180E48" w:rsidRDefault="00180E48" w:rsidP="00180E48">
            <w:pPr>
              <w:spacing w:after="120" w:line="276" w:lineRule="auto"/>
              <w:rPr>
                <w:rFonts w:ascii="TT Norms Pro" w:hAnsi="TT Norms Pro"/>
              </w:rPr>
            </w:pPr>
            <w:r w:rsidRPr="00180E48">
              <w:rPr>
                <w:rFonts w:ascii="TT Norms Pro" w:hAnsi="TT Norms Pro"/>
              </w:rPr>
              <w:t>Considering the proposal for an 80% minimum</w:t>
            </w:r>
            <w:r>
              <w:rPr>
                <w:rFonts w:ascii="TT Norms Pro" w:hAnsi="TT Norms Pro"/>
              </w:rPr>
              <w:t xml:space="preserve"> (as highlighted in Q3)</w:t>
            </w:r>
            <w:r w:rsidRPr="00180E48">
              <w:rPr>
                <w:rFonts w:ascii="TT Norms Pro" w:hAnsi="TT Norms Pro"/>
              </w:rPr>
              <w:t xml:space="preserve">, such a benchmark aligns with environmental goals and encourages renewable energy use. </w:t>
            </w:r>
          </w:p>
          <w:p w14:paraId="6370E6C7" w14:textId="77777777" w:rsidR="00180E48" w:rsidRDefault="00180E48" w:rsidP="00180E48">
            <w:pPr>
              <w:spacing w:after="120" w:line="276" w:lineRule="auto"/>
              <w:rPr>
                <w:rFonts w:ascii="TT Norms Pro" w:hAnsi="TT Norms Pro"/>
              </w:rPr>
            </w:pPr>
            <w:r>
              <w:rPr>
                <w:rFonts w:ascii="TT Norms Pro" w:hAnsi="TT Norms Pro"/>
              </w:rPr>
              <w:t xml:space="preserve">SNIPEF believes that this </w:t>
            </w:r>
            <w:r w:rsidRPr="00180E48">
              <w:rPr>
                <w:rFonts w:ascii="TT Norms Pro" w:hAnsi="TT Norms Pro"/>
              </w:rPr>
              <w:t xml:space="preserve">approach ensures hybrid systems are designed for maximum efficiency and minimal carbon emissions, fostering innovation in heat pump technology. </w:t>
            </w:r>
          </w:p>
          <w:p w14:paraId="3BE3F931" w14:textId="51D03210" w:rsidR="003C76A7" w:rsidRPr="00826216" w:rsidRDefault="00180E48" w:rsidP="00180E48">
            <w:pPr>
              <w:spacing w:after="120" w:line="276" w:lineRule="auto"/>
              <w:rPr>
                <w:rFonts w:ascii="TT Norms Pro" w:hAnsi="TT Norms Pro"/>
              </w:rPr>
            </w:pPr>
            <w:r w:rsidRPr="00180E48">
              <w:rPr>
                <w:rFonts w:ascii="TT Norms Pro" w:hAnsi="TT Norms Pro"/>
              </w:rPr>
              <w:t xml:space="preserve">Establishing a clear minimum is crucial for advancing green heating technologies, reducing reliance on fossil fuels, and meeting broader objectives for a sustainable energy future. </w:t>
            </w:r>
            <w:r>
              <w:rPr>
                <w:rFonts w:ascii="TT Norms Pro" w:hAnsi="TT Norms Pro"/>
              </w:rPr>
              <w:t xml:space="preserve">This position reflects our own </w:t>
            </w:r>
            <w:r w:rsidRPr="00180E48">
              <w:rPr>
                <w:rFonts w:ascii="TT Norms Pro" w:hAnsi="TT Norms Pro"/>
              </w:rPr>
              <w:t>commitment to enhancing industry standards and environmental stewardship.</w:t>
            </w:r>
          </w:p>
        </w:tc>
      </w:tr>
    </w:tbl>
    <w:p w14:paraId="7D611D41" w14:textId="77777777" w:rsidR="00616DCE" w:rsidRPr="00616DCE" w:rsidRDefault="00616DCE" w:rsidP="00616DCE">
      <w:pPr>
        <w:rPr>
          <w:rFonts w:ascii="TT Norms Pro Light" w:hAnsi="TT Norms Pro Light"/>
        </w:rPr>
      </w:pPr>
    </w:p>
    <w:p w14:paraId="0310B2E4" w14:textId="184726D1" w:rsidR="00616DCE" w:rsidRDefault="003C76A7" w:rsidP="00616DCE">
      <w:pPr>
        <w:pStyle w:val="ListParagraph"/>
        <w:numPr>
          <w:ilvl w:val="0"/>
          <w:numId w:val="11"/>
        </w:numPr>
        <w:rPr>
          <w:rFonts w:ascii="TT Norms Pro Light" w:hAnsi="TT Norms Pro Light"/>
        </w:rPr>
      </w:pPr>
      <w:r>
        <w:rPr>
          <w:rFonts w:ascii="TT Norms Pro Light" w:hAnsi="TT Norms Pro Light"/>
        </w:rPr>
        <w:t xml:space="preserve">5.5.2 f), </w:t>
      </w:r>
      <w:r w:rsidRPr="003C76A7">
        <w:rPr>
          <w:rFonts w:ascii="TT Norms Pro Light" w:hAnsi="TT Norms Pro Light"/>
        </w:rPr>
        <w:t xml:space="preserve">Should it be possible to supply 100% of the heat to the property from the alternative heat source? </w:t>
      </w:r>
    </w:p>
    <w:p w14:paraId="19DC7738" w14:textId="49750D1C" w:rsidR="003C76A7" w:rsidRPr="00180E48" w:rsidRDefault="00665B2F" w:rsidP="00665B2F">
      <w:pPr>
        <w:pStyle w:val="ListParagraph"/>
        <w:numPr>
          <w:ilvl w:val="1"/>
          <w:numId w:val="11"/>
        </w:numPr>
        <w:rPr>
          <w:rFonts w:ascii="TT Norms Pro Light" w:hAnsi="TT Norms Pro Light"/>
          <w:b/>
          <w:bCs/>
          <w:color w:val="FF0000"/>
        </w:rPr>
      </w:pPr>
      <w:r w:rsidRPr="00180E48">
        <w:rPr>
          <w:rFonts w:ascii="TT Norms Pro Light" w:hAnsi="TT Norms Pro Light"/>
          <w:b/>
          <w:bCs/>
          <w:color w:val="FF0000"/>
        </w:rPr>
        <w:t>Yes, what circumstances should that be acceptable? (</w:t>
      </w:r>
      <w:proofErr w:type="gramStart"/>
      <w:r w:rsidRPr="00180E48">
        <w:rPr>
          <w:rFonts w:ascii="TT Norms Pro Light" w:hAnsi="TT Norms Pro Light"/>
          <w:b/>
          <w:bCs/>
          <w:color w:val="FF0000"/>
        </w:rPr>
        <w:t>i.e.</w:t>
      </w:r>
      <w:proofErr w:type="gramEnd"/>
      <w:r w:rsidRPr="00180E48">
        <w:rPr>
          <w:rFonts w:ascii="TT Norms Pro Light" w:hAnsi="TT Norms Pro Light"/>
          <w:b/>
          <w:bCs/>
          <w:color w:val="FF0000"/>
        </w:rPr>
        <w:t xml:space="preserve"> if the heat pump fails?)</w:t>
      </w:r>
    </w:p>
    <w:p w14:paraId="39D66C98" w14:textId="77777777" w:rsidR="003C76A7" w:rsidRPr="003C76A7" w:rsidRDefault="003C76A7" w:rsidP="003C76A7">
      <w:pPr>
        <w:pStyle w:val="ListParagraph"/>
        <w:numPr>
          <w:ilvl w:val="1"/>
          <w:numId w:val="11"/>
        </w:numPr>
        <w:rPr>
          <w:rFonts w:ascii="TT Norms Pro Light" w:hAnsi="TT Norms Pro Light"/>
        </w:rPr>
      </w:pPr>
      <w:r w:rsidRPr="00826216">
        <w:rPr>
          <w:rFonts w:ascii="TT Norms Pro Light" w:hAnsi="TT Norms Pro Light"/>
        </w:rPr>
        <w:t>No (</w:t>
      </w:r>
      <w:r>
        <w:rPr>
          <w:rFonts w:ascii="TT Norms Pro Light" w:hAnsi="TT Norms Pro Light"/>
        </w:rPr>
        <w:t>please explain why)</w:t>
      </w:r>
      <w:r w:rsidRPr="00826216">
        <w:rPr>
          <w:rFonts w:ascii="TT Norms Pro Light" w:hAnsi="TT Norms Pro Light"/>
        </w:rPr>
        <w:t xml:space="preserve"> </w:t>
      </w:r>
    </w:p>
    <w:p w14:paraId="1994E1E0" w14:textId="77777777" w:rsidR="003C76A7" w:rsidRPr="00826216" w:rsidRDefault="003C76A7" w:rsidP="003C76A7">
      <w:pPr>
        <w:pStyle w:val="ListParagraph"/>
        <w:rPr>
          <w:rFonts w:ascii="TT Norms Pro Light" w:hAnsi="TT Norms Pro Light"/>
        </w:rPr>
      </w:pPr>
    </w:p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CD07D2" w:rsidRPr="00826216" w14:paraId="13AC3361" w14:textId="77777777" w:rsidTr="00CD07D2">
        <w:trPr>
          <w:trHeight w:val="1134"/>
        </w:trPr>
        <w:tc>
          <w:tcPr>
            <w:tcW w:w="15388" w:type="dxa"/>
          </w:tcPr>
          <w:p w14:paraId="425F8178" w14:textId="51D8AFC3" w:rsidR="00CB56E8" w:rsidRDefault="00CB56E8" w:rsidP="00180E48">
            <w:pPr>
              <w:spacing w:after="120" w:line="276" w:lineRule="auto"/>
              <w:rPr>
                <w:rFonts w:ascii="TT Norms Pro" w:hAnsi="TT Norms Pro"/>
              </w:rPr>
            </w:pPr>
            <w:bookmarkStart w:id="0" w:name="_Hlk75528081"/>
            <w:r w:rsidRPr="00CB56E8">
              <w:rPr>
                <w:rFonts w:ascii="TT Norms Pro" w:hAnsi="TT Norms Pro"/>
              </w:rPr>
              <w:t xml:space="preserve">SNIPEF </w:t>
            </w:r>
            <w:r>
              <w:rPr>
                <w:rFonts w:ascii="TT Norms Pro" w:hAnsi="TT Norms Pro"/>
              </w:rPr>
              <w:t>supports</w:t>
            </w:r>
            <w:r w:rsidRPr="00CB56E8">
              <w:rPr>
                <w:rFonts w:ascii="TT Norms Pro" w:hAnsi="TT Norms Pro"/>
              </w:rPr>
              <w:t xml:space="preserve"> the capability for hybrid systems to supply 100% of a property's heating needs from an alternative source</w:t>
            </w:r>
            <w:r>
              <w:rPr>
                <w:rFonts w:ascii="TT Norms Pro" w:hAnsi="TT Norms Pro"/>
              </w:rPr>
              <w:t xml:space="preserve">. </w:t>
            </w:r>
          </w:p>
          <w:p w14:paraId="7CA9A858" w14:textId="7AEC544D" w:rsidR="002F335A" w:rsidRPr="00826216" w:rsidRDefault="00CB56E8" w:rsidP="00180E48">
            <w:pPr>
              <w:spacing w:after="120" w:line="276" w:lineRule="auto"/>
              <w:rPr>
                <w:rFonts w:ascii="TT Norms Pro" w:hAnsi="TT Norms Pro"/>
              </w:rPr>
            </w:pPr>
            <w:r w:rsidRPr="00CB56E8">
              <w:rPr>
                <w:rFonts w:ascii="TT Norms Pro" w:hAnsi="TT Norms Pro"/>
              </w:rPr>
              <w:t xml:space="preserve">Inspired by Sweden's approach of an 80% heat pump contribution supplemented by electric backup, we advocate for flexible, adaptable solutions that account for </w:t>
            </w:r>
            <w:r w:rsidR="006770A3">
              <w:rPr>
                <w:rFonts w:ascii="TT Norms Pro" w:hAnsi="TT Norms Pro"/>
              </w:rPr>
              <w:t>each location's unique infrastructure and demand profiles</w:t>
            </w:r>
            <w:r w:rsidRPr="00CB56E8">
              <w:rPr>
                <w:rFonts w:ascii="TT Norms Pro" w:hAnsi="TT Norms Pro"/>
              </w:rPr>
              <w:t>. This approach facilitates effective heat pump integration, aligning with broader decarboni</w:t>
            </w:r>
            <w:r>
              <w:rPr>
                <w:rFonts w:ascii="TT Norms Pro" w:hAnsi="TT Norms Pro"/>
              </w:rPr>
              <w:t>s</w:t>
            </w:r>
            <w:r w:rsidRPr="00CB56E8">
              <w:rPr>
                <w:rFonts w:ascii="TT Norms Pro" w:hAnsi="TT Norms Pro"/>
              </w:rPr>
              <w:t>ation objectives while navigating the practicalities of energy supply and demand.</w:t>
            </w:r>
          </w:p>
        </w:tc>
      </w:tr>
      <w:bookmarkEnd w:id="0"/>
    </w:tbl>
    <w:p w14:paraId="325C0870" w14:textId="77777777" w:rsidR="00616DCE" w:rsidRDefault="00616DCE" w:rsidP="00244D39">
      <w:pPr>
        <w:pStyle w:val="NormalWeb"/>
        <w:spacing w:before="0" w:beforeAutospacing="0" w:after="0" w:afterAutospacing="0"/>
      </w:pPr>
    </w:p>
    <w:p w14:paraId="25BDA4F2" w14:textId="77777777" w:rsidR="00CD07D2" w:rsidRPr="00604680" w:rsidRDefault="00CD07D2" w:rsidP="00705F47">
      <w:pPr>
        <w:spacing w:after="0"/>
        <w:rPr>
          <w:rFonts w:ascii="TT Norms Pro" w:eastAsia="Times New Roman" w:hAnsi="TT Norms Pro" w:cs="Arial"/>
          <w:b/>
          <w:bCs/>
          <w:sz w:val="20"/>
          <w:szCs w:val="20"/>
          <w:lang w:eastAsia="zh-CN"/>
        </w:rPr>
      </w:pPr>
    </w:p>
    <w:sectPr w:rsidR="00CD07D2" w:rsidRPr="00604680" w:rsidSect="00972436">
      <w:headerReference w:type="first" r:id="rId10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E7E51" w14:textId="77777777" w:rsidR="00972436" w:rsidRDefault="00972436" w:rsidP="00FD4383">
      <w:pPr>
        <w:spacing w:after="0" w:line="240" w:lineRule="auto"/>
      </w:pPr>
      <w:r>
        <w:separator/>
      </w:r>
    </w:p>
  </w:endnote>
  <w:endnote w:type="continuationSeparator" w:id="0">
    <w:p w14:paraId="3F5F9D50" w14:textId="77777777" w:rsidR="00972436" w:rsidRDefault="00972436" w:rsidP="00FD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 Norms Pro Light">
    <w:altName w:val="Calibri"/>
    <w:panose1 w:val="00000000000000000000"/>
    <w:charset w:val="00"/>
    <w:family w:val="modern"/>
    <w:notTrueType/>
    <w:pitch w:val="variable"/>
    <w:sig w:usb0="A00002FF" w:usb1="5000A4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 Norms Pro">
    <w:altName w:val="Calibri"/>
    <w:panose1 w:val="00000000000000000000"/>
    <w:charset w:val="00"/>
    <w:family w:val="modern"/>
    <w:notTrueType/>
    <w:pitch w:val="variable"/>
    <w:sig w:usb0="A00002FF" w:usb1="5000A4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9B5FC" w14:textId="77777777" w:rsidR="00972436" w:rsidRDefault="00972436" w:rsidP="00FD4383">
      <w:pPr>
        <w:spacing w:after="0" w:line="240" w:lineRule="auto"/>
      </w:pPr>
      <w:r>
        <w:separator/>
      </w:r>
    </w:p>
  </w:footnote>
  <w:footnote w:type="continuationSeparator" w:id="0">
    <w:p w14:paraId="07EADA3A" w14:textId="77777777" w:rsidR="00972436" w:rsidRDefault="00972436" w:rsidP="00FD4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8727C" w14:textId="1D137888" w:rsidR="00540F2B" w:rsidRDefault="00540F2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03C982" wp14:editId="1F563A6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95680" cy="995045"/>
          <wp:effectExtent l="0" t="0" r="0" b="0"/>
          <wp:wrapNone/>
          <wp:docPr id="1" name="Picture 1" descr="A picture containing objec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S_logo_BLACK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680" cy="995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62BA"/>
    <w:multiLevelType w:val="hybridMultilevel"/>
    <w:tmpl w:val="67C4347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938C4"/>
    <w:multiLevelType w:val="hybridMultilevel"/>
    <w:tmpl w:val="D226806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8036859"/>
    <w:multiLevelType w:val="hybridMultilevel"/>
    <w:tmpl w:val="CAE2FD84"/>
    <w:lvl w:ilvl="0" w:tplc="6A58354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CA80EAC"/>
    <w:multiLevelType w:val="hybridMultilevel"/>
    <w:tmpl w:val="043CD530"/>
    <w:lvl w:ilvl="0" w:tplc="21528B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2F16"/>
    <w:multiLevelType w:val="hybridMultilevel"/>
    <w:tmpl w:val="8690C1D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0CB403E"/>
    <w:multiLevelType w:val="hybridMultilevel"/>
    <w:tmpl w:val="CAE2FD84"/>
    <w:lvl w:ilvl="0" w:tplc="6A58354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41B4687"/>
    <w:multiLevelType w:val="hybridMultilevel"/>
    <w:tmpl w:val="BBD6A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24EF0"/>
    <w:multiLevelType w:val="hybridMultilevel"/>
    <w:tmpl w:val="A69E65A0"/>
    <w:lvl w:ilvl="0" w:tplc="ED0211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CA54B0"/>
    <w:multiLevelType w:val="hybridMultilevel"/>
    <w:tmpl w:val="CAE2FD84"/>
    <w:lvl w:ilvl="0" w:tplc="6A58354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11C1947"/>
    <w:multiLevelType w:val="hybridMultilevel"/>
    <w:tmpl w:val="CE145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D286C"/>
    <w:multiLevelType w:val="hybridMultilevel"/>
    <w:tmpl w:val="CD723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00173"/>
    <w:multiLevelType w:val="hybridMultilevel"/>
    <w:tmpl w:val="CAE2FD84"/>
    <w:lvl w:ilvl="0" w:tplc="6A58354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F1F24FF"/>
    <w:multiLevelType w:val="hybridMultilevel"/>
    <w:tmpl w:val="64B26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E3662"/>
    <w:multiLevelType w:val="hybridMultilevel"/>
    <w:tmpl w:val="CAE2FD84"/>
    <w:lvl w:ilvl="0" w:tplc="6A58354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740437D"/>
    <w:multiLevelType w:val="hybridMultilevel"/>
    <w:tmpl w:val="CAE2FD84"/>
    <w:lvl w:ilvl="0" w:tplc="6A58354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98F5EAC"/>
    <w:multiLevelType w:val="hybridMultilevel"/>
    <w:tmpl w:val="1A1850D4"/>
    <w:lvl w:ilvl="0" w:tplc="6EE6E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B24B6"/>
    <w:multiLevelType w:val="hybridMultilevel"/>
    <w:tmpl w:val="45DEC1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1892422">
    <w:abstractNumId w:val="0"/>
  </w:num>
  <w:num w:numId="2" w16cid:durableId="106975309">
    <w:abstractNumId w:val="13"/>
  </w:num>
  <w:num w:numId="3" w16cid:durableId="1148278410">
    <w:abstractNumId w:val="8"/>
  </w:num>
  <w:num w:numId="4" w16cid:durableId="1891726666">
    <w:abstractNumId w:val="2"/>
  </w:num>
  <w:num w:numId="5" w16cid:durableId="2056851334">
    <w:abstractNumId w:val="14"/>
  </w:num>
  <w:num w:numId="6" w16cid:durableId="1575704964">
    <w:abstractNumId w:val="5"/>
  </w:num>
  <w:num w:numId="7" w16cid:durableId="49768701">
    <w:abstractNumId w:val="11"/>
  </w:num>
  <w:num w:numId="8" w16cid:durableId="588776545">
    <w:abstractNumId w:val="10"/>
  </w:num>
  <w:num w:numId="9" w16cid:durableId="845947295">
    <w:abstractNumId w:val="12"/>
  </w:num>
  <w:num w:numId="10" w16cid:durableId="1065489569">
    <w:abstractNumId w:val="1"/>
  </w:num>
  <w:num w:numId="11" w16cid:durableId="870411158">
    <w:abstractNumId w:val="3"/>
  </w:num>
  <w:num w:numId="12" w16cid:durableId="1781560816">
    <w:abstractNumId w:val="16"/>
  </w:num>
  <w:num w:numId="13" w16cid:durableId="1629897617">
    <w:abstractNumId w:val="4"/>
  </w:num>
  <w:num w:numId="14" w16cid:durableId="1288194137">
    <w:abstractNumId w:val="9"/>
  </w:num>
  <w:num w:numId="15" w16cid:durableId="827597224">
    <w:abstractNumId w:val="7"/>
  </w:num>
  <w:num w:numId="16" w16cid:durableId="575823134">
    <w:abstractNumId w:val="6"/>
  </w:num>
  <w:num w:numId="17" w16cid:durableId="7926708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83"/>
    <w:rsid w:val="00000B26"/>
    <w:rsid w:val="00005100"/>
    <w:rsid w:val="00005A0F"/>
    <w:rsid w:val="00006EC4"/>
    <w:rsid w:val="00011755"/>
    <w:rsid w:val="00012FDC"/>
    <w:rsid w:val="00024901"/>
    <w:rsid w:val="00024D31"/>
    <w:rsid w:val="00034B10"/>
    <w:rsid w:val="0003692D"/>
    <w:rsid w:val="00050069"/>
    <w:rsid w:val="00062BC5"/>
    <w:rsid w:val="000633D3"/>
    <w:rsid w:val="00063C17"/>
    <w:rsid w:val="00066D72"/>
    <w:rsid w:val="000708A5"/>
    <w:rsid w:val="00072CBA"/>
    <w:rsid w:val="00075CAA"/>
    <w:rsid w:val="000857FF"/>
    <w:rsid w:val="00085E38"/>
    <w:rsid w:val="00086CEB"/>
    <w:rsid w:val="000938A6"/>
    <w:rsid w:val="00093D34"/>
    <w:rsid w:val="00096DBF"/>
    <w:rsid w:val="000A1E0E"/>
    <w:rsid w:val="000A50AB"/>
    <w:rsid w:val="000B2BEF"/>
    <w:rsid w:val="000C5402"/>
    <w:rsid w:val="000C76D0"/>
    <w:rsid w:val="000E27F9"/>
    <w:rsid w:val="000E7856"/>
    <w:rsid w:val="000F396F"/>
    <w:rsid w:val="000F79D3"/>
    <w:rsid w:val="001105E9"/>
    <w:rsid w:val="00113ADA"/>
    <w:rsid w:val="00124D07"/>
    <w:rsid w:val="001269DD"/>
    <w:rsid w:val="0013008F"/>
    <w:rsid w:val="00132443"/>
    <w:rsid w:val="00136E38"/>
    <w:rsid w:val="00144A58"/>
    <w:rsid w:val="00144C06"/>
    <w:rsid w:val="00150497"/>
    <w:rsid w:val="001564C1"/>
    <w:rsid w:val="0016151B"/>
    <w:rsid w:val="00170352"/>
    <w:rsid w:val="001764DB"/>
    <w:rsid w:val="00177D02"/>
    <w:rsid w:val="001808F4"/>
    <w:rsid w:val="0018095F"/>
    <w:rsid w:val="00180E48"/>
    <w:rsid w:val="00181190"/>
    <w:rsid w:val="00184110"/>
    <w:rsid w:val="00185F4B"/>
    <w:rsid w:val="00186680"/>
    <w:rsid w:val="00186834"/>
    <w:rsid w:val="001918C5"/>
    <w:rsid w:val="00195A5D"/>
    <w:rsid w:val="001A6852"/>
    <w:rsid w:val="001A7D0E"/>
    <w:rsid w:val="001A7F86"/>
    <w:rsid w:val="001B0759"/>
    <w:rsid w:val="001B42D3"/>
    <w:rsid w:val="001B4541"/>
    <w:rsid w:val="001C56C9"/>
    <w:rsid w:val="001D7E0E"/>
    <w:rsid w:val="001D7E37"/>
    <w:rsid w:val="001E5658"/>
    <w:rsid w:val="001E731A"/>
    <w:rsid w:val="001E758E"/>
    <w:rsid w:val="00202A54"/>
    <w:rsid w:val="002030C6"/>
    <w:rsid w:val="00206D00"/>
    <w:rsid w:val="00207F02"/>
    <w:rsid w:val="002175A4"/>
    <w:rsid w:val="002216A5"/>
    <w:rsid w:val="00236B5C"/>
    <w:rsid w:val="002433D6"/>
    <w:rsid w:val="0024442B"/>
    <w:rsid w:val="00244D39"/>
    <w:rsid w:val="00252444"/>
    <w:rsid w:val="002544FB"/>
    <w:rsid w:val="00254E0C"/>
    <w:rsid w:val="00275023"/>
    <w:rsid w:val="002762D8"/>
    <w:rsid w:val="00282156"/>
    <w:rsid w:val="002828D4"/>
    <w:rsid w:val="00292EDE"/>
    <w:rsid w:val="002A097E"/>
    <w:rsid w:val="002A2F7B"/>
    <w:rsid w:val="002A62EA"/>
    <w:rsid w:val="002C16A8"/>
    <w:rsid w:val="002C2713"/>
    <w:rsid w:val="002C7282"/>
    <w:rsid w:val="002D172C"/>
    <w:rsid w:val="002D1AEC"/>
    <w:rsid w:val="002D4BBE"/>
    <w:rsid w:val="002D513A"/>
    <w:rsid w:val="002D533F"/>
    <w:rsid w:val="002E00F0"/>
    <w:rsid w:val="002E037D"/>
    <w:rsid w:val="002E274C"/>
    <w:rsid w:val="002E2D7E"/>
    <w:rsid w:val="002F320D"/>
    <w:rsid w:val="002F335A"/>
    <w:rsid w:val="00306902"/>
    <w:rsid w:val="00310618"/>
    <w:rsid w:val="00312066"/>
    <w:rsid w:val="00312278"/>
    <w:rsid w:val="003129B3"/>
    <w:rsid w:val="00313F8A"/>
    <w:rsid w:val="00316476"/>
    <w:rsid w:val="0032382C"/>
    <w:rsid w:val="003245A3"/>
    <w:rsid w:val="003347A7"/>
    <w:rsid w:val="00335664"/>
    <w:rsid w:val="00336157"/>
    <w:rsid w:val="00340B28"/>
    <w:rsid w:val="0035238A"/>
    <w:rsid w:val="003538AF"/>
    <w:rsid w:val="00355B5B"/>
    <w:rsid w:val="00355E1D"/>
    <w:rsid w:val="00356E80"/>
    <w:rsid w:val="003622A4"/>
    <w:rsid w:val="00362D5E"/>
    <w:rsid w:val="00363355"/>
    <w:rsid w:val="0037234A"/>
    <w:rsid w:val="0038277A"/>
    <w:rsid w:val="00386AB7"/>
    <w:rsid w:val="00387521"/>
    <w:rsid w:val="00390335"/>
    <w:rsid w:val="00390B60"/>
    <w:rsid w:val="00391333"/>
    <w:rsid w:val="0039796F"/>
    <w:rsid w:val="003A7AF4"/>
    <w:rsid w:val="003B032A"/>
    <w:rsid w:val="003B3587"/>
    <w:rsid w:val="003B4932"/>
    <w:rsid w:val="003C76A7"/>
    <w:rsid w:val="003D7086"/>
    <w:rsid w:val="003E138B"/>
    <w:rsid w:val="003F22EB"/>
    <w:rsid w:val="003F3C97"/>
    <w:rsid w:val="003F5329"/>
    <w:rsid w:val="00400F7D"/>
    <w:rsid w:val="0041496A"/>
    <w:rsid w:val="00420A61"/>
    <w:rsid w:val="00426B1C"/>
    <w:rsid w:val="00433F43"/>
    <w:rsid w:val="00434923"/>
    <w:rsid w:val="004428E5"/>
    <w:rsid w:val="00443651"/>
    <w:rsid w:val="00447637"/>
    <w:rsid w:val="004521C8"/>
    <w:rsid w:val="00460FFE"/>
    <w:rsid w:val="0046443A"/>
    <w:rsid w:val="00465576"/>
    <w:rsid w:val="00470B8F"/>
    <w:rsid w:val="00471209"/>
    <w:rsid w:val="00472C28"/>
    <w:rsid w:val="00472F79"/>
    <w:rsid w:val="004735FF"/>
    <w:rsid w:val="0047427A"/>
    <w:rsid w:val="0047457C"/>
    <w:rsid w:val="004909F3"/>
    <w:rsid w:val="00490DCC"/>
    <w:rsid w:val="00491070"/>
    <w:rsid w:val="004912D6"/>
    <w:rsid w:val="004926CD"/>
    <w:rsid w:val="0049561A"/>
    <w:rsid w:val="004A19BF"/>
    <w:rsid w:val="004A2228"/>
    <w:rsid w:val="004A2973"/>
    <w:rsid w:val="004A2A70"/>
    <w:rsid w:val="004B407E"/>
    <w:rsid w:val="004B5F97"/>
    <w:rsid w:val="004C2B5E"/>
    <w:rsid w:val="004D4C4E"/>
    <w:rsid w:val="004D5C9F"/>
    <w:rsid w:val="004D6E3D"/>
    <w:rsid w:val="004E35FF"/>
    <w:rsid w:val="004E375C"/>
    <w:rsid w:val="004E494F"/>
    <w:rsid w:val="004E61DB"/>
    <w:rsid w:val="004F0512"/>
    <w:rsid w:val="004F0F1E"/>
    <w:rsid w:val="004F34F1"/>
    <w:rsid w:val="004F480E"/>
    <w:rsid w:val="005112CB"/>
    <w:rsid w:val="00514F03"/>
    <w:rsid w:val="0052259C"/>
    <w:rsid w:val="00525A2D"/>
    <w:rsid w:val="005274B1"/>
    <w:rsid w:val="00534195"/>
    <w:rsid w:val="00540F2B"/>
    <w:rsid w:val="005416B7"/>
    <w:rsid w:val="0054287B"/>
    <w:rsid w:val="00542A00"/>
    <w:rsid w:val="005445C6"/>
    <w:rsid w:val="00561B67"/>
    <w:rsid w:val="00563A87"/>
    <w:rsid w:val="0056500C"/>
    <w:rsid w:val="005657CE"/>
    <w:rsid w:val="0057102B"/>
    <w:rsid w:val="0058154B"/>
    <w:rsid w:val="00582001"/>
    <w:rsid w:val="00584641"/>
    <w:rsid w:val="00587181"/>
    <w:rsid w:val="005A65F0"/>
    <w:rsid w:val="005B7F4A"/>
    <w:rsid w:val="005C32A3"/>
    <w:rsid w:val="005D404F"/>
    <w:rsid w:val="005E5855"/>
    <w:rsid w:val="00604680"/>
    <w:rsid w:val="00614D46"/>
    <w:rsid w:val="00616DCE"/>
    <w:rsid w:val="00616E4D"/>
    <w:rsid w:val="00617A06"/>
    <w:rsid w:val="00627897"/>
    <w:rsid w:val="00632876"/>
    <w:rsid w:val="006379CE"/>
    <w:rsid w:val="00650AEB"/>
    <w:rsid w:val="006518F1"/>
    <w:rsid w:val="00651B90"/>
    <w:rsid w:val="00656085"/>
    <w:rsid w:val="00660A94"/>
    <w:rsid w:val="0066194C"/>
    <w:rsid w:val="00665335"/>
    <w:rsid w:val="00665B2F"/>
    <w:rsid w:val="0067147E"/>
    <w:rsid w:val="006770A3"/>
    <w:rsid w:val="006813BC"/>
    <w:rsid w:val="00696D47"/>
    <w:rsid w:val="006A1DCD"/>
    <w:rsid w:val="006C3573"/>
    <w:rsid w:val="006C43F6"/>
    <w:rsid w:val="006D141D"/>
    <w:rsid w:val="006D7B13"/>
    <w:rsid w:val="006E0E94"/>
    <w:rsid w:val="006E10A0"/>
    <w:rsid w:val="006E1346"/>
    <w:rsid w:val="006F06E8"/>
    <w:rsid w:val="0070278D"/>
    <w:rsid w:val="007047A8"/>
    <w:rsid w:val="00705390"/>
    <w:rsid w:val="00705F47"/>
    <w:rsid w:val="007163FD"/>
    <w:rsid w:val="00720290"/>
    <w:rsid w:val="007210AA"/>
    <w:rsid w:val="00726286"/>
    <w:rsid w:val="00730213"/>
    <w:rsid w:val="0073250D"/>
    <w:rsid w:val="0074035A"/>
    <w:rsid w:val="00741958"/>
    <w:rsid w:val="007422CA"/>
    <w:rsid w:val="00746353"/>
    <w:rsid w:val="0075339E"/>
    <w:rsid w:val="00754F3C"/>
    <w:rsid w:val="00757867"/>
    <w:rsid w:val="00777ED4"/>
    <w:rsid w:val="0078049A"/>
    <w:rsid w:val="00781412"/>
    <w:rsid w:val="007832C0"/>
    <w:rsid w:val="00784F5A"/>
    <w:rsid w:val="0078736E"/>
    <w:rsid w:val="00796BC5"/>
    <w:rsid w:val="007A2E10"/>
    <w:rsid w:val="007A5F6B"/>
    <w:rsid w:val="007A7F45"/>
    <w:rsid w:val="007B0EF9"/>
    <w:rsid w:val="007B320D"/>
    <w:rsid w:val="007B33C5"/>
    <w:rsid w:val="007C0AC7"/>
    <w:rsid w:val="007C41A1"/>
    <w:rsid w:val="007D66E2"/>
    <w:rsid w:val="007E5E8D"/>
    <w:rsid w:val="007F5064"/>
    <w:rsid w:val="00800511"/>
    <w:rsid w:val="00802D3B"/>
    <w:rsid w:val="00811199"/>
    <w:rsid w:val="0082163C"/>
    <w:rsid w:val="00826216"/>
    <w:rsid w:val="00833B6F"/>
    <w:rsid w:val="00836B58"/>
    <w:rsid w:val="00847788"/>
    <w:rsid w:val="008522BC"/>
    <w:rsid w:val="008625C1"/>
    <w:rsid w:val="00871202"/>
    <w:rsid w:val="00872107"/>
    <w:rsid w:val="00872165"/>
    <w:rsid w:val="008723B7"/>
    <w:rsid w:val="0087466E"/>
    <w:rsid w:val="00877128"/>
    <w:rsid w:val="00885E3C"/>
    <w:rsid w:val="008876C4"/>
    <w:rsid w:val="008978C4"/>
    <w:rsid w:val="008A0AB4"/>
    <w:rsid w:val="008A1933"/>
    <w:rsid w:val="008B0220"/>
    <w:rsid w:val="008C310F"/>
    <w:rsid w:val="008C4E7C"/>
    <w:rsid w:val="008D3852"/>
    <w:rsid w:val="008E0FAB"/>
    <w:rsid w:val="008E52ED"/>
    <w:rsid w:val="008E7562"/>
    <w:rsid w:val="008F299B"/>
    <w:rsid w:val="00901667"/>
    <w:rsid w:val="00901972"/>
    <w:rsid w:val="00905DDA"/>
    <w:rsid w:val="009062A2"/>
    <w:rsid w:val="00910962"/>
    <w:rsid w:val="009154A1"/>
    <w:rsid w:val="00915B6D"/>
    <w:rsid w:val="0092017A"/>
    <w:rsid w:val="00926A33"/>
    <w:rsid w:val="00940A4B"/>
    <w:rsid w:val="0096261B"/>
    <w:rsid w:val="00963492"/>
    <w:rsid w:val="00964879"/>
    <w:rsid w:val="00967B7D"/>
    <w:rsid w:val="00972436"/>
    <w:rsid w:val="00973C05"/>
    <w:rsid w:val="00982779"/>
    <w:rsid w:val="0098566B"/>
    <w:rsid w:val="0098680B"/>
    <w:rsid w:val="009936BF"/>
    <w:rsid w:val="00996114"/>
    <w:rsid w:val="0099697B"/>
    <w:rsid w:val="009A10A0"/>
    <w:rsid w:val="009A35C2"/>
    <w:rsid w:val="009A6698"/>
    <w:rsid w:val="009C0943"/>
    <w:rsid w:val="009C71E2"/>
    <w:rsid w:val="009D1D2E"/>
    <w:rsid w:val="009E5458"/>
    <w:rsid w:val="009F7770"/>
    <w:rsid w:val="00A2033F"/>
    <w:rsid w:val="00A25933"/>
    <w:rsid w:val="00A25948"/>
    <w:rsid w:val="00A46932"/>
    <w:rsid w:val="00A51C87"/>
    <w:rsid w:val="00A55C7E"/>
    <w:rsid w:val="00A56858"/>
    <w:rsid w:val="00A57D9B"/>
    <w:rsid w:val="00A6706D"/>
    <w:rsid w:val="00A71742"/>
    <w:rsid w:val="00A77FBD"/>
    <w:rsid w:val="00A8285C"/>
    <w:rsid w:val="00A856FD"/>
    <w:rsid w:val="00A93EDF"/>
    <w:rsid w:val="00A96FAD"/>
    <w:rsid w:val="00AA2DB8"/>
    <w:rsid w:val="00AA4742"/>
    <w:rsid w:val="00AA4771"/>
    <w:rsid w:val="00AB2B46"/>
    <w:rsid w:val="00AC0B49"/>
    <w:rsid w:val="00AD2813"/>
    <w:rsid w:val="00AD5F35"/>
    <w:rsid w:val="00AD79E6"/>
    <w:rsid w:val="00AE23C4"/>
    <w:rsid w:val="00AE625D"/>
    <w:rsid w:val="00AF10AF"/>
    <w:rsid w:val="00AF3FA5"/>
    <w:rsid w:val="00B010AD"/>
    <w:rsid w:val="00B330E7"/>
    <w:rsid w:val="00B40E0F"/>
    <w:rsid w:val="00B42023"/>
    <w:rsid w:val="00B50913"/>
    <w:rsid w:val="00B54FAC"/>
    <w:rsid w:val="00B5752F"/>
    <w:rsid w:val="00B672E3"/>
    <w:rsid w:val="00B67434"/>
    <w:rsid w:val="00B72DB7"/>
    <w:rsid w:val="00B828C2"/>
    <w:rsid w:val="00B82BCE"/>
    <w:rsid w:val="00B8394E"/>
    <w:rsid w:val="00B95104"/>
    <w:rsid w:val="00BA5817"/>
    <w:rsid w:val="00BA6568"/>
    <w:rsid w:val="00BB0FAE"/>
    <w:rsid w:val="00BB1361"/>
    <w:rsid w:val="00BB1BA2"/>
    <w:rsid w:val="00BC035C"/>
    <w:rsid w:val="00BC2ACA"/>
    <w:rsid w:val="00BC52B3"/>
    <w:rsid w:val="00BD584C"/>
    <w:rsid w:val="00BE59C9"/>
    <w:rsid w:val="00BF3FF5"/>
    <w:rsid w:val="00BF6076"/>
    <w:rsid w:val="00C0181D"/>
    <w:rsid w:val="00C02D02"/>
    <w:rsid w:val="00C03611"/>
    <w:rsid w:val="00C1472C"/>
    <w:rsid w:val="00C215E7"/>
    <w:rsid w:val="00C2471C"/>
    <w:rsid w:val="00C25C9C"/>
    <w:rsid w:val="00C2655B"/>
    <w:rsid w:val="00C31539"/>
    <w:rsid w:val="00C3319C"/>
    <w:rsid w:val="00C34E2C"/>
    <w:rsid w:val="00C53306"/>
    <w:rsid w:val="00C53A9E"/>
    <w:rsid w:val="00C5674F"/>
    <w:rsid w:val="00C601B7"/>
    <w:rsid w:val="00C65B50"/>
    <w:rsid w:val="00C6754D"/>
    <w:rsid w:val="00C71950"/>
    <w:rsid w:val="00C83CDC"/>
    <w:rsid w:val="00C87F32"/>
    <w:rsid w:val="00CA1A27"/>
    <w:rsid w:val="00CA5A78"/>
    <w:rsid w:val="00CB41C1"/>
    <w:rsid w:val="00CB56E8"/>
    <w:rsid w:val="00CC6556"/>
    <w:rsid w:val="00CC78F3"/>
    <w:rsid w:val="00CD07D2"/>
    <w:rsid w:val="00CD1960"/>
    <w:rsid w:val="00CD1D7B"/>
    <w:rsid w:val="00CD32A3"/>
    <w:rsid w:val="00CD5D78"/>
    <w:rsid w:val="00CD6CC6"/>
    <w:rsid w:val="00CE56E3"/>
    <w:rsid w:val="00CF4A96"/>
    <w:rsid w:val="00D0138A"/>
    <w:rsid w:val="00D07D24"/>
    <w:rsid w:val="00D13BE5"/>
    <w:rsid w:val="00D203CA"/>
    <w:rsid w:val="00D217BB"/>
    <w:rsid w:val="00D27CBE"/>
    <w:rsid w:val="00D32AC2"/>
    <w:rsid w:val="00D3644E"/>
    <w:rsid w:val="00D4696C"/>
    <w:rsid w:val="00D55088"/>
    <w:rsid w:val="00D56897"/>
    <w:rsid w:val="00D61A3B"/>
    <w:rsid w:val="00D8146B"/>
    <w:rsid w:val="00D84C45"/>
    <w:rsid w:val="00D92124"/>
    <w:rsid w:val="00DA2F7F"/>
    <w:rsid w:val="00DA476C"/>
    <w:rsid w:val="00DA70A3"/>
    <w:rsid w:val="00DB1100"/>
    <w:rsid w:val="00DB24AF"/>
    <w:rsid w:val="00DB4B5F"/>
    <w:rsid w:val="00DD3254"/>
    <w:rsid w:val="00DE0990"/>
    <w:rsid w:val="00DE4DF7"/>
    <w:rsid w:val="00E0380A"/>
    <w:rsid w:val="00E04F02"/>
    <w:rsid w:val="00E06BF5"/>
    <w:rsid w:val="00E26F1C"/>
    <w:rsid w:val="00E31153"/>
    <w:rsid w:val="00E3152A"/>
    <w:rsid w:val="00E36268"/>
    <w:rsid w:val="00E37966"/>
    <w:rsid w:val="00E40DD1"/>
    <w:rsid w:val="00E472FF"/>
    <w:rsid w:val="00E63453"/>
    <w:rsid w:val="00E6505D"/>
    <w:rsid w:val="00E75AE4"/>
    <w:rsid w:val="00E80B00"/>
    <w:rsid w:val="00E83766"/>
    <w:rsid w:val="00E86E0B"/>
    <w:rsid w:val="00E87036"/>
    <w:rsid w:val="00E872C9"/>
    <w:rsid w:val="00E9568B"/>
    <w:rsid w:val="00E95A85"/>
    <w:rsid w:val="00EB4FF2"/>
    <w:rsid w:val="00EC6011"/>
    <w:rsid w:val="00ED03E5"/>
    <w:rsid w:val="00EF2229"/>
    <w:rsid w:val="00EF682D"/>
    <w:rsid w:val="00F04165"/>
    <w:rsid w:val="00F07F10"/>
    <w:rsid w:val="00F11A0A"/>
    <w:rsid w:val="00F21C89"/>
    <w:rsid w:val="00F25261"/>
    <w:rsid w:val="00F30224"/>
    <w:rsid w:val="00F3289F"/>
    <w:rsid w:val="00F3378E"/>
    <w:rsid w:val="00F51BF9"/>
    <w:rsid w:val="00F56E0B"/>
    <w:rsid w:val="00F61D87"/>
    <w:rsid w:val="00F65F95"/>
    <w:rsid w:val="00F66C56"/>
    <w:rsid w:val="00F67E75"/>
    <w:rsid w:val="00F72413"/>
    <w:rsid w:val="00F7359A"/>
    <w:rsid w:val="00F80581"/>
    <w:rsid w:val="00F809BB"/>
    <w:rsid w:val="00F80B21"/>
    <w:rsid w:val="00FA24A8"/>
    <w:rsid w:val="00FB1008"/>
    <w:rsid w:val="00FB1CA5"/>
    <w:rsid w:val="00FB5D94"/>
    <w:rsid w:val="00FC2A65"/>
    <w:rsid w:val="00FC2D86"/>
    <w:rsid w:val="00FC3418"/>
    <w:rsid w:val="00FD4383"/>
    <w:rsid w:val="00FD5566"/>
    <w:rsid w:val="00FE12FC"/>
    <w:rsid w:val="00FF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7F48F3"/>
  <w15:docId w15:val="{CB843511-74A9-44A9-BCB2-3FAA69DF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383"/>
  </w:style>
  <w:style w:type="paragraph" w:styleId="Footer">
    <w:name w:val="footer"/>
    <w:basedOn w:val="Normal"/>
    <w:link w:val="FooterChar"/>
    <w:uiPriority w:val="99"/>
    <w:unhideWhenUsed/>
    <w:rsid w:val="00FD4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383"/>
  </w:style>
  <w:style w:type="table" w:styleId="TableGrid">
    <w:name w:val="Table Grid"/>
    <w:basedOn w:val="TableNormal"/>
    <w:uiPriority w:val="39"/>
    <w:rsid w:val="00C53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0E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07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076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363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BC03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90B60"/>
    <w:rPr>
      <w:color w:val="0563C1" w:themeColor="hyperlink"/>
      <w:u w:val="single"/>
    </w:rPr>
  </w:style>
  <w:style w:type="paragraph" w:customStyle="1" w:styleId="Default">
    <w:name w:val="Default"/>
    <w:rsid w:val="00144A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44D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3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f15ebbb-e97f-4235-8314-fa50b8ff9f9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580A8AEBA6449A6F9C3661F24E17F" ma:contentTypeVersion="15" ma:contentTypeDescription="Create a new document." ma:contentTypeScope="" ma:versionID="b76c1573e601b724d681acdbc0afe7af">
  <xsd:schema xmlns:xsd="http://www.w3.org/2001/XMLSchema" xmlns:xs="http://www.w3.org/2001/XMLSchema" xmlns:p="http://schemas.microsoft.com/office/2006/metadata/properties" xmlns:ns3="bf15ebbb-e97f-4235-8314-fa50b8ff9f94" xmlns:ns4="eec2b96e-40d5-4b68-97e0-aa5f03d8e6a5" targetNamespace="http://schemas.microsoft.com/office/2006/metadata/properties" ma:root="true" ma:fieldsID="760ddb93b05a5039b7c8d727a646f3fe" ns3:_="" ns4:_="">
    <xsd:import namespace="bf15ebbb-e97f-4235-8314-fa50b8ff9f94"/>
    <xsd:import namespace="eec2b96e-40d5-4b68-97e0-aa5f03d8e6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5ebbb-e97f-4235-8314-fa50b8ff9f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2b96e-40d5-4b68-97e0-aa5f03d8e6a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52870B-659F-494B-A7AF-BD0F8BE49C1B}">
  <ds:schemaRefs>
    <ds:schemaRef ds:uri="eec2b96e-40d5-4b68-97e0-aa5f03d8e6a5"/>
    <ds:schemaRef ds:uri="http://purl.org/dc/terms/"/>
    <ds:schemaRef ds:uri="bf15ebbb-e97f-4235-8314-fa50b8ff9f94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6B54FFC-548A-4AC0-9A40-2A5E2F101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5ebbb-e97f-4235-8314-fa50b8ff9f94"/>
    <ds:schemaRef ds:uri="eec2b96e-40d5-4b68-97e0-aa5f03d8e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92A8CA-11D6-487F-87B1-5616B4A9A3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1081</Words>
  <Characters>6080</Characters>
  <Application>Microsoft Office Word</Application>
  <DocSecurity>0</DocSecurity>
  <Lines>115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Yemm</dc:creator>
  <cp:keywords/>
  <dc:description/>
  <cp:lastModifiedBy>Richard Campbell</cp:lastModifiedBy>
  <cp:revision>3</cp:revision>
  <cp:lastPrinted>2021-03-29T09:49:00Z</cp:lastPrinted>
  <dcterms:created xsi:type="dcterms:W3CDTF">2024-03-11T09:40:00Z</dcterms:created>
  <dcterms:modified xsi:type="dcterms:W3CDTF">2024-03-11T09:40:00Z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0x010100D0F580A8AEBA6449A6F9C3661F24E17F</vt:lpwstr>
  </property>
  <property fmtid="{D5CDD505-2E9C-101B-9397-08002B2CF9AE}" pid="3" name="MediaServiceImageTags">
    <vt:lpwstr/>
  </property>
  <property fmtid="{D5CDD505-2E9C-101B-9397-08002B2CF9AE}" pid="4" name="GrammarlyDocumentId">
    <vt:lpwstr>2616272b6abb33c77481c62d228790a24626c1813c21aba16cd4d3de3ee5036b</vt:lpwstr>
  </property>
</Properties>
</file>