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420F" w14:textId="1D2B7024" w:rsidR="00A62C0C" w:rsidRPr="00A62C0C" w:rsidRDefault="00A62C0C" w:rsidP="00426E81">
      <w:pPr>
        <w:spacing w:after="120" w:line="276" w:lineRule="auto"/>
        <w:rPr>
          <w:rFonts w:ascii="Mark Pro" w:eastAsia="HGGothicE" w:hAnsi="Mark Pro" w:cs="Arial"/>
        </w:rPr>
      </w:pPr>
    </w:p>
    <w:p w14:paraId="2679E794" w14:textId="26BCE7BD" w:rsidR="00A62C0C" w:rsidRPr="00151643" w:rsidRDefault="00A62C0C" w:rsidP="00426E81">
      <w:pPr>
        <w:spacing w:after="120" w:line="276" w:lineRule="auto"/>
        <w:rPr>
          <w:rFonts w:ascii="Mark Pro" w:eastAsia="HGGothicE" w:hAnsi="Mark Pro" w:cs="Arial"/>
          <w:b/>
          <w:bCs/>
          <w:color w:val="00205B"/>
          <w:sz w:val="32"/>
          <w:szCs w:val="32"/>
        </w:rPr>
      </w:pPr>
      <w:r w:rsidRPr="00151643">
        <w:rPr>
          <w:rFonts w:ascii="Mark Pro" w:eastAsia="HGGothicE" w:hAnsi="Mark Pro" w:cs="Arial"/>
          <w:b/>
          <w:bCs/>
          <w:color w:val="00205B"/>
          <w:sz w:val="32"/>
          <w:szCs w:val="32"/>
        </w:rPr>
        <w:t>Clean Heat Market Mechanism</w:t>
      </w:r>
    </w:p>
    <w:p w14:paraId="4DF6022F" w14:textId="5B38AE79" w:rsidR="00A62C0C" w:rsidRDefault="00A62C0C" w:rsidP="00426E81">
      <w:pPr>
        <w:spacing w:after="120" w:line="276" w:lineRule="auto"/>
        <w:rPr>
          <w:rFonts w:ascii="Mark Pro" w:eastAsia="HGGothicE" w:hAnsi="Mark Pro" w:cs="Arial"/>
          <w:sz w:val="28"/>
          <w:szCs w:val="28"/>
        </w:rPr>
      </w:pPr>
      <w:r w:rsidRPr="00A62C0C">
        <w:rPr>
          <w:rFonts w:ascii="Mark Pro" w:eastAsia="HGGothicE" w:hAnsi="Mark Pro" w:cs="Arial"/>
          <w:sz w:val="28"/>
          <w:szCs w:val="28"/>
        </w:rPr>
        <w:t>Consultation Report</w:t>
      </w:r>
      <w:r w:rsidR="00C53FB7">
        <w:rPr>
          <w:rFonts w:ascii="Mark Pro" w:eastAsia="HGGothicE" w:hAnsi="Mark Pro" w:cs="Arial"/>
          <w:sz w:val="28"/>
          <w:szCs w:val="28"/>
        </w:rPr>
        <w:t xml:space="preserve"> Findings</w:t>
      </w:r>
    </w:p>
    <w:p w14:paraId="72ED8F89" w14:textId="5CCDD7BE" w:rsidR="00A62C0C" w:rsidRPr="00151643" w:rsidRDefault="00151643" w:rsidP="00426E81">
      <w:pPr>
        <w:spacing w:after="120" w:line="276" w:lineRule="auto"/>
        <w:rPr>
          <w:rFonts w:ascii="Mark Pro" w:eastAsia="HGGothicE" w:hAnsi="Mark Pro" w:cs="Arial"/>
          <w:b/>
          <w:bCs/>
          <w:color w:val="00205B"/>
          <w:sz w:val="24"/>
          <w:szCs w:val="24"/>
        </w:rPr>
      </w:pPr>
      <w:r w:rsidRPr="00151643">
        <w:rPr>
          <w:rFonts w:ascii="Mark Pro" w:eastAsia="HGGothicE" w:hAnsi="Mark Pro" w:cs="Arial"/>
          <w:b/>
          <w:bCs/>
          <w:color w:val="00205B"/>
          <w:sz w:val="24"/>
          <w:szCs w:val="24"/>
        </w:rPr>
        <w:t>Introduction</w:t>
      </w:r>
    </w:p>
    <w:p w14:paraId="5C8A71E3" w14:textId="788E0CD8" w:rsidR="00151643" w:rsidRDefault="00151643" w:rsidP="00426E81">
      <w:pPr>
        <w:spacing w:after="120" w:line="276" w:lineRule="auto"/>
        <w:rPr>
          <w:rFonts w:ascii="Mark Pro" w:eastAsia="HGGothicE" w:hAnsi="Mark Pro" w:cs="Arial"/>
        </w:rPr>
      </w:pPr>
      <w:r w:rsidRPr="00151643">
        <w:rPr>
          <w:rFonts w:ascii="Mark Pro" w:eastAsia="HGGothicE" w:hAnsi="Mark Pro" w:cs="Arial"/>
        </w:rPr>
        <w:t xml:space="preserve">This report </w:t>
      </w:r>
      <w:r>
        <w:rPr>
          <w:rFonts w:ascii="Mark Pro" w:eastAsia="HGGothicE" w:hAnsi="Mark Pro" w:cs="Arial"/>
        </w:rPr>
        <w:t>analyses</w:t>
      </w:r>
      <w:r w:rsidRPr="00151643">
        <w:rPr>
          <w:rFonts w:ascii="Mark Pro" w:eastAsia="HGGothicE" w:hAnsi="Mark Pro" w:cs="Arial"/>
        </w:rPr>
        <w:t xml:space="preserve"> the responses to the Clean Heat Market Mechanism (CHMM) consultation, </w:t>
      </w:r>
      <w:r>
        <w:rPr>
          <w:rFonts w:ascii="Mark Pro" w:eastAsia="HGGothicE" w:hAnsi="Mark Pro" w:cs="Arial"/>
        </w:rPr>
        <w:t>explicitly</w:t>
      </w:r>
      <w:r w:rsidRPr="00151643">
        <w:rPr>
          <w:rFonts w:ascii="Mark Pro" w:eastAsia="HGGothicE" w:hAnsi="Mark Pro" w:cs="Arial"/>
        </w:rPr>
        <w:t xml:space="preserve"> comparing the submissions made </w:t>
      </w:r>
      <w:r w:rsidR="00C53FB7">
        <w:rPr>
          <w:rFonts w:ascii="Mark Pro" w:eastAsia="HGGothicE" w:hAnsi="Mark Pro" w:cs="Arial"/>
        </w:rPr>
        <w:t xml:space="preserve">by </w:t>
      </w:r>
      <w:r w:rsidRPr="00151643">
        <w:rPr>
          <w:rFonts w:ascii="Mark Pro" w:eastAsia="HGGothicE" w:hAnsi="Mark Pro" w:cs="Arial"/>
        </w:rPr>
        <w:t xml:space="preserve">SNIPEF against the collective submissions of other stakeholders and the subsequent government response. </w:t>
      </w:r>
    </w:p>
    <w:p w14:paraId="6DEF6A32" w14:textId="3919C586" w:rsidR="00151643" w:rsidRDefault="00151643" w:rsidP="00426E81">
      <w:pPr>
        <w:spacing w:after="120" w:line="276" w:lineRule="auto"/>
        <w:rPr>
          <w:rFonts w:ascii="Mark Pro" w:eastAsia="HGGothicE" w:hAnsi="Mark Pro" w:cs="Arial"/>
        </w:rPr>
      </w:pPr>
      <w:r w:rsidRPr="00151643">
        <w:rPr>
          <w:rFonts w:ascii="Mark Pro" w:eastAsia="HGGothicE" w:hAnsi="Mark Pro" w:cs="Arial"/>
        </w:rPr>
        <w:t xml:space="preserve">The primary purpose of this analysis is to assess the degree of alignment or divergence between SNIPEF's positions and the government's decisions on various aspects of the CHMM. By </w:t>
      </w:r>
      <w:r>
        <w:rPr>
          <w:rFonts w:ascii="Mark Pro" w:eastAsia="HGGothicE" w:hAnsi="Mark Pro" w:cs="Arial"/>
        </w:rPr>
        <w:t>scrutinising</w:t>
      </w:r>
      <w:r w:rsidRPr="00151643">
        <w:rPr>
          <w:rFonts w:ascii="Mark Pro" w:eastAsia="HGGothicE" w:hAnsi="Mark Pro" w:cs="Arial"/>
        </w:rPr>
        <w:t xml:space="preserve"> each relevant consultation question, the report aims to provide a detailed insight into how SNIPEF's concerns and suggestions have been acknowledged, addressed, or overlooked in the final policy framework.</w:t>
      </w:r>
    </w:p>
    <w:p w14:paraId="2C621817" w14:textId="34451A74" w:rsidR="002B0B58" w:rsidRDefault="002B0B58" w:rsidP="00426E81">
      <w:pPr>
        <w:spacing w:after="120" w:line="276" w:lineRule="auto"/>
        <w:rPr>
          <w:rFonts w:ascii="Mark Pro" w:eastAsia="HGGothicE" w:hAnsi="Mark Pro" w:cs="Arial"/>
          <w:b/>
          <w:bCs/>
          <w:color w:val="00205B"/>
        </w:rPr>
      </w:pPr>
      <w:r>
        <w:rPr>
          <w:rFonts w:ascii="Mark Pro" w:eastAsia="HGGothicE" w:hAnsi="Mark Pro" w:cs="Arial"/>
          <w:b/>
          <w:bCs/>
          <w:color w:val="00205B"/>
        </w:rPr>
        <w:t xml:space="preserve">What is the </w:t>
      </w:r>
      <w:proofErr w:type="gramStart"/>
      <w:r>
        <w:rPr>
          <w:rFonts w:ascii="Mark Pro" w:eastAsia="HGGothicE" w:hAnsi="Mark Pro" w:cs="Arial"/>
          <w:b/>
          <w:bCs/>
          <w:color w:val="00205B"/>
        </w:rPr>
        <w:t>CHMM</w:t>
      </w:r>
      <w:proofErr w:type="gramEnd"/>
    </w:p>
    <w:p w14:paraId="1152E2BD" w14:textId="44E2DA1E" w:rsidR="002B0B58" w:rsidRPr="002B0B58" w:rsidRDefault="002B0B58" w:rsidP="00426E81">
      <w:pPr>
        <w:spacing w:after="120" w:line="276" w:lineRule="auto"/>
        <w:rPr>
          <w:rFonts w:ascii="Mark Pro" w:eastAsia="HGGothicE" w:hAnsi="Mark Pro" w:cs="Arial"/>
          <w:color w:val="000000" w:themeColor="text1"/>
        </w:rPr>
      </w:pPr>
      <w:r>
        <w:rPr>
          <w:rFonts w:ascii="Mark Pro" w:eastAsia="HGGothicE" w:hAnsi="Mark Pro" w:cs="Arial"/>
          <w:color w:val="000000" w:themeColor="text1"/>
        </w:rPr>
        <w:t>The CHHM aims</w:t>
      </w:r>
      <w:r w:rsidRPr="002B0B58">
        <w:rPr>
          <w:rFonts w:ascii="Mark Pro" w:eastAsia="HGGothicE" w:hAnsi="Mark Pro" w:cs="Arial"/>
          <w:color w:val="000000" w:themeColor="text1"/>
        </w:rPr>
        <w:t xml:space="preserve"> to incentivise the UK’s heating industry to invest in making heat pumps an increasingly attractive and affordable choice for families and businesses.</w:t>
      </w:r>
    </w:p>
    <w:p w14:paraId="7A997B90" w14:textId="1AA24190" w:rsidR="002B0B58" w:rsidRPr="002B0B58" w:rsidRDefault="002B0B58" w:rsidP="00426E81">
      <w:pPr>
        <w:spacing w:after="120" w:line="276" w:lineRule="auto"/>
        <w:rPr>
          <w:rFonts w:ascii="Mark Pro" w:eastAsia="HGGothicE" w:hAnsi="Mark Pro" w:cs="Arial"/>
          <w:color w:val="000000" w:themeColor="text1"/>
        </w:rPr>
      </w:pPr>
      <w:r w:rsidRPr="002B0B58">
        <w:rPr>
          <w:rFonts w:ascii="Mark Pro" w:eastAsia="HGGothicE" w:hAnsi="Mark Pro" w:cs="Arial"/>
          <w:color w:val="000000" w:themeColor="text1"/>
        </w:rPr>
        <w:t xml:space="preserve">The scheme would require fossil fuel boiler manufacturers </w:t>
      </w:r>
      <w:r>
        <w:rPr>
          <w:rFonts w:ascii="Mark Pro" w:eastAsia="HGGothicE" w:hAnsi="Mark Pro" w:cs="Arial"/>
          <w:color w:val="000000" w:themeColor="text1"/>
        </w:rPr>
        <w:t xml:space="preserve">(obligated parties) </w:t>
      </w:r>
      <w:r w:rsidRPr="002B0B58">
        <w:rPr>
          <w:rFonts w:ascii="Mark Pro" w:eastAsia="HGGothicE" w:hAnsi="Mark Pro" w:cs="Arial"/>
          <w:color w:val="000000" w:themeColor="text1"/>
        </w:rPr>
        <w:t>to install a certain number of heat pumps proportional to their fossil fuel boiler sales. It is intended to incentivise industry to invest and innovate throughout the supply chain.</w:t>
      </w:r>
    </w:p>
    <w:p w14:paraId="06B1931A" w14:textId="5DB9E23D" w:rsidR="002B0B58" w:rsidRPr="002B0B58" w:rsidRDefault="002B0B58" w:rsidP="00426E81">
      <w:pPr>
        <w:spacing w:after="120" w:line="276" w:lineRule="auto"/>
        <w:rPr>
          <w:rFonts w:ascii="Mark Pro" w:eastAsia="HGGothicE" w:hAnsi="Mark Pro" w:cs="Arial"/>
          <w:color w:val="000000" w:themeColor="text1"/>
        </w:rPr>
      </w:pPr>
      <w:r w:rsidRPr="002B0B58">
        <w:rPr>
          <w:rFonts w:ascii="Mark Pro" w:eastAsia="HGGothicE" w:hAnsi="Mark Pro" w:cs="Arial"/>
          <w:color w:val="000000" w:themeColor="text1"/>
        </w:rPr>
        <w:t>Under the mechanism, a £3000 fine will be charged for every missed heat pump sale.</w:t>
      </w:r>
      <w:r>
        <w:rPr>
          <w:rFonts w:ascii="Mark Pro" w:eastAsia="HGGothicE" w:hAnsi="Mark Pro" w:cs="Arial"/>
          <w:color w:val="000000" w:themeColor="text1"/>
        </w:rPr>
        <w:t xml:space="preserve"> </w:t>
      </w:r>
    </w:p>
    <w:p w14:paraId="6734BDB5" w14:textId="4A42FB5A" w:rsidR="00151643" w:rsidRPr="00151643" w:rsidRDefault="0001342B" w:rsidP="00426E81">
      <w:pPr>
        <w:spacing w:after="120" w:line="276" w:lineRule="auto"/>
        <w:rPr>
          <w:rFonts w:ascii="Mark Pro" w:eastAsia="HGGothicE" w:hAnsi="Mark Pro" w:cs="Arial"/>
          <w:b/>
          <w:bCs/>
          <w:color w:val="00205B"/>
        </w:rPr>
      </w:pPr>
      <w:r>
        <w:rPr>
          <w:rFonts w:ascii="Mark Pro" w:eastAsia="HGGothicE" w:hAnsi="Mark Pro" w:cs="Arial"/>
          <w:b/>
          <w:bCs/>
          <w:color w:val="00205B"/>
        </w:rPr>
        <w:t xml:space="preserve">CHMM Consultation Report </w:t>
      </w:r>
    </w:p>
    <w:p w14:paraId="149BE8A4" w14:textId="6D4C33EA" w:rsidR="00A7181C" w:rsidRDefault="0001342B" w:rsidP="00426E81">
      <w:pPr>
        <w:spacing w:after="120" w:line="276" w:lineRule="auto"/>
        <w:rPr>
          <w:rFonts w:ascii="Mark Pro" w:eastAsia="HGGothicE" w:hAnsi="Mark Pro" w:cs="Arial"/>
          <w:color w:val="000000" w:themeColor="text1"/>
        </w:rPr>
      </w:pPr>
      <w:r>
        <w:rPr>
          <w:rFonts w:ascii="Mark Pro" w:eastAsia="HGGothicE" w:hAnsi="Mark Pro" w:cs="Arial"/>
          <w:color w:val="000000" w:themeColor="text1"/>
        </w:rPr>
        <w:t>The</w:t>
      </w:r>
      <w:r w:rsidR="002B0B58">
        <w:rPr>
          <w:rFonts w:ascii="Mark Pro" w:eastAsia="HGGothicE" w:hAnsi="Mark Pro" w:cs="Arial"/>
          <w:color w:val="000000" w:themeColor="text1"/>
        </w:rPr>
        <w:t xml:space="preserve"> November 2024 CHMM</w:t>
      </w:r>
      <w:r>
        <w:rPr>
          <w:rFonts w:ascii="Mark Pro" w:eastAsia="HGGothicE" w:hAnsi="Mark Pro" w:cs="Arial"/>
          <w:color w:val="000000" w:themeColor="text1"/>
        </w:rPr>
        <w:t xml:space="preserve"> report responds to the second Clean Heat Market Mechanism consultation. </w:t>
      </w:r>
      <w:r w:rsidRPr="0001342B">
        <w:rPr>
          <w:rFonts w:ascii="Mark Pro" w:eastAsia="HGGothicE" w:hAnsi="Mark Pro" w:cs="Arial"/>
          <w:color w:val="000000" w:themeColor="text1"/>
        </w:rPr>
        <w:t xml:space="preserve">It addresses key CHMM design aspects like participant scope, targets, payments-in-lieu, </w:t>
      </w:r>
      <w:r>
        <w:rPr>
          <w:rFonts w:ascii="Mark Pro" w:eastAsia="HGGothicE" w:hAnsi="Mark Pro" w:cs="Arial"/>
          <w:color w:val="000000" w:themeColor="text1"/>
        </w:rPr>
        <w:t>credit trading</w:t>
      </w:r>
      <w:r w:rsidRPr="0001342B">
        <w:rPr>
          <w:rFonts w:ascii="Mark Pro" w:eastAsia="HGGothicE" w:hAnsi="Mark Pro" w:cs="Arial"/>
          <w:color w:val="000000" w:themeColor="text1"/>
        </w:rPr>
        <w:t>, data, and administration. Stakeholder feedback has significantly informed the optimi</w:t>
      </w:r>
      <w:r>
        <w:rPr>
          <w:rFonts w:ascii="Mark Pro" w:eastAsia="HGGothicE" w:hAnsi="Mark Pro" w:cs="Arial"/>
          <w:color w:val="000000" w:themeColor="text1"/>
        </w:rPr>
        <w:t>s</w:t>
      </w:r>
      <w:r w:rsidRPr="0001342B">
        <w:rPr>
          <w:rFonts w:ascii="Mark Pro" w:eastAsia="HGGothicE" w:hAnsi="Mark Pro" w:cs="Arial"/>
          <w:color w:val="000000" w:themeColor="text1"/>
        </w:rPr>
        <w:t xml:space="preserve">ation of the scheme, set to be regulated soon. Aligned with the Prime Minister's September 2023 </w:t>
      </w:r>
      <w:r>
        <w:rPr>
          <w:rFonts w:ascii="Mark Pro" w:eastAsia="HGGothicE" w:hAnsi="Mark Pro" w:cs="Arial"/>
          <w:color w:val="000000" w:themeColor="text1"/>
        </w:rPr>
        <w:t>net-zero strategies, the CHMM aims to encourage heat pump installation through incentives like the Boiler Upgrade Scheme</w:t>
      </w:r>
      <w:r w:rsidRPr="0001342B">
        <w:rPr>
          <w:rFonts w:ascii="Mark Pro" w:eastAsia="HGGothicE" w:hAnsi="Mark Pro" w:cs="Arial"/>
          <w:color w:val="000000" w:themeColor="text1"/>
        </w:rPr>
        <w:t xml:space="preserve"> while maintaining voluntary adoption for homeowners.</w:t>
      </w:r>
    </w:p>
    <w:p w14:paraId="7BED5555" w14:textId="2BA59994" w:rsidR="0001342B" w:rsidRPr="004844B8" w:rsidRDefault="0001342B" w:rsidP="00426E81">
      <w:pPr>
        <w:spacing w:after="120" w:line="276" w:lineRule="auto"/>
        <w:rPr>
          <w:rFonts w:ascii="Mark Pro" w:eastAsia="HGGothicE" w:hAnsi="Mark Pro" w:cs="Arial"/>
          <w:b/>
          <w:bCs/>
          <w:color w:val="002060"/>
          <w:sz w:val="24"/>
          <w:szCs w:val="24"/>
        </w:rPr>
      </w:pPr>
      <w:r w:rsidRPr="004844B8">
        <w:rPr>
          <w:rFonts w:ascii="Mark Pro" w:eastAsia="HGGothicE" w:hAnsi="Mark Pro" w:cs="Arial"/>
          <w:b/>
          <w:bCs/>
          <w:color w:val="002060"/>
          <w:sz w:val="24"/>
          <w:szCs w:val="24"/>
        </w:rPr>
        <w:t>Overall Government Response to the Consultation</w:t>
      </w:r>
    </w:p>
    <w:p w14:paraId="3CA5835D" w14:textId="5AB70696" w:rsidR="0001342B" w:rsidRPr="004844B8" w:rsidRDefault="0001342B" w:rsidP="00426E81">
      <w:pPr>
        <w:spacing w:after="120" w:line="276" w:lineRule="auto"/>
        <w:rPr>
          <w:rFonts w:ascii="Mark Pro" w:eastAsia="HGGothicE" w:hAnsi="Mark Pro" w:cs="Arial"/>
          <w:color w:val="000000" w:themeColor="text1"/>
        </w:rPr>
      </w:pPr>
      <w:r w:rsidRPr="004844B8">
        <w:rPr>
          <w:rFonts w:ascii="Mark Pro" w:eastAsia="HGGothicE" w:hAnsi="Mark Pro" w:cs="Arial"/>
          <w:color w:val="000000" w:themeColor="text1"/>
        </w:rPr>
        <w:t>The UK government</w:t>
      </w:r>
      <w:r w:rsidR="004844B8">
        <w:rPr>
          <w:rFonts w:ascii="Mark Pro" w:eastAsia="HGGothicE" w:hAnsi="Mark Pro" w:cs="Arial"/>
          <w:color w:val="000000" w:themeColor="text1"/>
        </w:rPr>
        <w:t xml:space="preserve"> </w:t>
      </w:r>
      <w:r w:rsidRPr="004844B8">
        <w:rPr>
          <w:rFonts w:ascii="Mark Pro" w:eastAsia="HGGothicE" w:hAnsi="Mark Pro" w:cs="Arial"/>
          <w:color w:val="000000" w:themeColor="text1"/>
        </w:rPr>
        <w:t xml:space="preserve">will launch the Clean Heat Market Mechanism in 2024 to encourage investment in the heat pump market, </w:t>
      </w:r>
      <w:r w:rsidR="004844B8">
        <w:rPr>
          <w:rFonts w:ascii="Mark Pro" w:eastAsia="HGGothicE" w:hAnsi="Mark Pro" w:cs="Arial"/>
          <w:color w:val="000000" w:themeColor="text1"/>
        </w:rPr>
        <w:t>enhance energy security, and aid in</w:t>
      </w:r>
      <w:r w:rsidRPr="004844B8">
        <w:rPr>
          <w:rFonts w:ascii="Mark Pro" w:eastAsia="HGGothicE" w:hAnsi="Mark Pro" w:cs="Arial"/>
          <w:color w:val="000000" w:themeColor="text1"/>
        </w:rPr>
        <w:t xml:space="preserve"> decarboni</w:t>
      </w:r>
      <w:r w:rsidR="004844B8">
        <w:rPr>
          <w:rFonts w:ascii="Mark Pro" w:eastAsia="HGGothicE" w:hAnsi="Mark Pro" w:cs="Arial"/>
          <w:color w:val="000000" w:themeColor="text1"/>
        </w:rPr>
        <w:t>s</w:t>
      </w:r>
      <w:r w:rsidRPr="004844B8">
        <w:rPr>
          <w:rFonts w:ascii="Mark Pro" w:eastAsia="HGGothicE" w:hAnsi="Mark Pro" w:cs="Arial"/>
          <w:color w:val="000000" w:themeColor="text1"/>
        </w:rPr>
        <w:t xml:space="preserve">ation. Targets for heat pump credits in the first two years are set at </w:t>
      </w:r>
      <w:r w:rsidRPr="004844B8">
        <w:rPr>
          <w:rFonts w:ascii="Mark Pro" w:eastAsia="HGGothicE" w:hAnsi="Mark Pro" w:cs="Arial"/>
          <w:color w:val="000000" w:themeColor="text1"/>
        </w:rPr>
        <w:lastRenderedPageBreak/>
        <w:t>moderate levels to allow market adjustment, with higher growth rates expected later.</w:t>
      </w:r>
      <w:r w:rsidR="004844B8">
        <w:rPr>
          <w:rFonts w:ascii="Mark Pro" w:eastAsia="HGGothicE" w:hAnsi="Mark Pro" w:cs="Arial"/>
          <w:color w:val="000000" w:themeColor="text1"/>
        </w:rPr>
        <w:t xml:space="preserve"> </w:t>
      </w:r>
      <w:r w:rsidRPr="004844B8">
        <w:rPr>
          <w:rFonts w:ascii="Mark Pro" w:eastAsia="HGGothicE" w:hAnsi="Mark Pro" w:cs="Arial"/>
          <w:color w:val="000000" w:themeColor="text1"/>
        </w:rPr>
        <w:t xml:space="preserve">Key </w:t>
      </w:r>
      <w:r w:rsidR="004844B8">
        <w:rPr>
          <w:rFonts w:ascii="Mark Pro" w:eastAsia="HGGothicE" w:hAnsi="Mark Pro" w:cs="Arial"/>
          <w:color w:val="000000" w:themeColor="text1"/>
        </w:rPr>
        <w:t>points include</w:t>
      </w:r>
      <w:r w:rsidRPr="004844B8">
        <w:rPr>
          <w:rFonts w:ascii="Mark Pro" w:eastAsia="HGGothicE" w:hAnsi="Mark Pro" w:cs="Arial"/>
          <w:color w:val="000000" w:themeColor="text1"/>
        </w:rPr>
        <w:t>:</w:t>
      </w:r>
    </w:p>
    <w:p w14:paraId="34AD6220" w14:textId="0B51A87B" w:rsidR="0001342B" w:rsidRPr="004844B8" w:rsidRDefault="0001342B" w:rsidP="00426E81">
      <w:pPr>
        <w:pStyle w:val="ListParagraph"/>
        <w:numPr>
          <w:ilvl w:val="0"/>
          <w:numId w:val="28"/>
        </w:numPr>
        <w:spacing w:after="120" w:line="276" w:lineRule="auto"/>
        <w:ind w:left="714" w:hanging="357"/>
        <w:contextualSpacing w:val="0"/>
        <w:rPr>
          <w:rFonts w:ascii="Mark Pro" w:eastAsia="HGGothicE" w:hAnsi="Mark Pro" w:cs="Arial"/>
          <w:color w:val="000000" w:themeColor="text1"/>
        </w:rPr>
      </w:pPr>
      <w:r w:rsidRPr="004844B8">
        <w:rPr>
          <w:rFonts w:ascii="Mark Pro" w:eastAsia="HGGothicE" w:hAnsi="Mark Pro" w:cs="Arial"/>
          <w:b/>
          <w:bCs/>
          <w:color w:val="000000" w:themeColor="text1"/>
        </w:rPr>
        <w:t>Tradable heat pump credits</w:t>
      </w:r>
      <w:r w:rsidRPr="004844B8">
        <w:rPr>
          <w:rFonts w:ascii="Mark Pro" w:eastAsia="HGGothicE" w:hAnsi="Mark Pro" w:cs="Arial"/>
          <w:color w:val="000000" w:themeColor="text1"/>
        </w:rPr>
        <w:t xml:space="preserve"> upon </w:t>
      </w:r>
      <w:r w:rsidR="004844B8">
        <w:rPr>
          <w:rFonts w:ascii="Mark Pro" w:eastAsia="HGGothicE" w:hAnsi="Mark Pro" w:cs="Arial"/>
          <w:color w:val="000000" w:themeColor="text1"/>
        </w:rPr>
        <w:t>installing and certifying</w:t>
      </w:r>
      <w:r w:rsidRPr="004844B8">
        <w:rPr>
          <w:rFonts w:ascii="Mark Pro" w:eastAsia="HGGothicE" w:hAnsi="Mark Pro" w:cs="Arial"/>
          <w:color w:val="000000" w:themeColor="text1"/>
        </w:rPr>
        <w:t xml:space="preserve"> qualifying heat pumps, with hybrid systems earning half credits.</w:t>
      </w:r>
    </w:p>
    <w:p w14:paraId="7A9A2935" w14:textId="7FCEA8F3" w:rsidR="0001342B" w:rsidRPr="004844B8" w:rsidRDefault="0001342B" w:rsidP="00426E81">
      <w:pPr>
        <w:pStyle w:val="ListParagraph"/>
        <w:numPr>
          <w:ilvl w:val="0"/>
          <w:numId w:val="28"/>
        </w:numPr>
        <w:spacing w:after="120" w:line="276" w:lineRule="auto"/>
        <w:ind w:left="714" w:hanging="357"/>
        <w:contextualSpacing w:val="0"/>
        <w:rPr>
          <w:rFonts w:ascii="Mark Pro" w:eastAsia="HGGothicE" w:hAnsi="Mark Pro" w:cs="Arial"/>
          <w:color w:val="000000" w:themeColor="text1"/>
        </w:rPr>
      </w:pPr>
      <w:r w:rsidRPr="004844B8">
        <w:rPr>
          <w:rFonts w:ascii="Mark Pro" w:eastAsia="HGGothicE" w:hAnsi="Mark Pro" w:cs="Arial"/>
          <w:b/>
          <w:bCs/>
          <w:color w:val="000000" w:themeColor="text1"/>
        </w:rPr>
        <w:t>Increased flexibility for obligated parties</w:t>
      </w:r>
      <w:r w:rsidRPr="004844B8">
        <w:rPr>
          <w:rFonts w:ascii="Mark Pro" w:eastAsia="HGGothicE" w:hAnsi="Mark Pro" w:cs="Arial"/>
          <w:color w:val="000000" w:themeColor="text1"/>
        </w:rPr>
        <w:t>, allowing 35% of an unmet target to be carried forward (up from 25%), and no application of a 'multiplier' for the first two years.</w:t>
      </w:r>
    </w:p>
    <w:p w14:paraId="072BD051" w14:textId="334E92B1" w:rsidR="0001342B" w:rsidRPr="004844B8" w:rsidRDefault="0001342B" w:rsidP="00426E81">
      <w:pPr>
        <w:pStyle w:val="ListParagraph"/>
        <w:numPr>
          <w:ilvl w:val="0"/>
          <w:numId w:val="28"/>
        </w:numPr>
        <w:spacing w:after="120" w:line="276" w:lineRule="auto"/>
        <w:ind w:left="714" w:hanging="357"/>
        <w:contextualSpacing w:val="0"/>
        <w:rPr>
          <w:rFonts w:ascii="Mark Pro" w:eastAsia="HGGothicE" w:hAnsi="Mark Pro" w:cs="Arial"/>
          <w:color w:val="000000" w:themeColor="text1"/>
        </w:rPr>
      </w:pPr>
      <w:r w:rsidRPr="004844B8">
        <w:rPr>
          <w:rFonts w:ascii="Mark Pro" w:eastAsia="HGGothicE" w:hAnsi="Mark Pro" w:cs="Arial"/>
          <w:b/>
          <w:bCs/>
          <w:color w:val="000000" w:themeColor="text1"/>
        </w:rPr>
        <w:t>Reduction in surplus credit</w:t>
      </w:r>
      <w:r w:rsidRPr="004844B8">
        <w:rPr>
          <w:rFonts w:ascii="Mark Pro" w:eastAsia="HGGothicE" w:hAnsi="Mark Pro" w:cs="Arial"/>
          <w:color w:val="000000" w:themeColor="text1"/>
        </w:rPr>
        <w:t xml:space="preserve"> </w:t>
      </w:r>
      <w:r w:rsidRPr="004844B8">
        <w:rPr>
          <w:rFonts w:ascii="Mark Pro" w:eastAsia="HGGothicE" w:hAnsi="Mark Pro" w:cs="Arial"/>
          <w:b/>
          <w:bCs/>
          <w:color w:val="000000" w:themeColor="text1"/>
        </w:rPr>
        <w:t>carry-over</w:t>
      </w:r>
      <w:r w:rsidRPr="004844B8">
        <w:rPr>
          <w:rFonts w:ascii="Mark Pro" w:eastAsia="HGGothicE" w:hAnsi="Mark Pro" w:cs="Arial"/>
          <w:color w:val="000000" w:themeColor="text1"/>
        </w:rPr>
        <w:t xml:space="preserve"> from 25% to 10% to increase in-year credit supply.</w:t>
      </w:r>
    </w:p>
    <w:p w14:paraId="36E362DB" w14:textId="513CA7FD" w:rsidR="0001342B" w:rsidRPr="004844B8" w:rsidRDefault="0001342B" w:rsidP="00426E81">
      <w:pPr>
        <w:pStyle w:val="ListParagraph"/>
        <w:numPr>
          <w:ilvl w:val="0"/>
          <w:numId w:val="28"/>
        </w:numPr>
        <w:spacing w:after="120" w:line="276" w:lineRule="auto"/>
        <w:ind w:left="714" w:hanging="357"/>
        <w:contextualSpacing w:val="0"/>
        <w:rPr>
          <w:rFonts w:ascii="Mark Pro" w:eastAsia="HGGothicE" w:hAnsi="Mark Pro" w:cs="Arial"/>
          <w:color w:val="000000" w:themeColor="text1"/>
        </w:rPr>
      </w:pPr>
      <w:r w:rsidRPr="004844B8">
        <w:rPr>
          <w:rFonts w:ascii="Mark Pro" w:eastAsia="HGGothicE" w:hAnsi="Mark Pro" w:cs="Arial"/>
          <w:b/>
          <w:bCs/>
          <w:color w:val="000000" w:themeColor="text1"/>
        </w:rPr>
        <w:t>Excluding new-build boiler sales</w:t>
      </w:r>
      <w:r w:rsidRPr="004844B8">
        <w:rPr>
          <w:rFonts w:ascii="Mark Pro" w:eastAsia="HGGothicE" w:hAnsi="Mark Pro" w:cs="Arial"/>
          <w:color w:val="000000" w:themeColor="text1"/>
        </w:rPr>
        <w:t xml:space="preserve"> from target calculations until the Future Homes Standard takes effect.</w:t>
      </w:r>
    </w:p>
    <w:p w14:paraId="78FB64AE" w14:textId="1A92E18D" w:rsidR="0001342B" w:rsidRPr="004844B8" w:rsidRDefault="0001342B" w:rsidP="00426E81">
      <w:pPr>
        <w:pStyle w:val="ListParagraph"/>
        <w:numPr>
          <w:ilvl w:val="0"/>
          <w:numId w:val="28"/>
        </w:numPr>
        <w:spacing w:after="120" w:line="276" w:lineRule="auto"/>
        <w:ind w:left="714" w:hanging="357"/>
        <w:contextualSpacing w:val="0"/>
        <w:rPr>
          <w:rFonts w:ascii="Mark Pro" w:eastAsia="HGGothicE" w:hAnsi="Mark Pro" w:cs="Arial"/>
          <w:color w:val="000000" w:themeColor="text1"/>
        </w:rPr>
      </w:pPr>
      <w:r w:rsidRPr="004844B8">
        <w:rPr>
          <w:rFonts w:ascii="Mark Pro" w:eastAsia="HGGothicE" w:hAnsi="Mark Pro" w:cs="Arial"/>
          <w:b/>
          <w:bCs/>
          <w:color w:val="000000" w:themeColor="text1"/>
        </w:rPr>
        <w:t>Lowering the payment-in-lieu</w:t>
      </w:r>
      <w:r w:rsidRPr="004844B8">
        <w:rPr>
          <w:rFonts w:ascii="Mark Pro" w:eastAsia="HGGothicE" w:hAnsi="Mark Pro" w:cs="Arial"/>
          <w:color w:val="000000" w:themeColor="text1"/>
        </w:rPr>
        <w:t xml:space="preserve"> for unmet targets to £3,000 per missing credit, to reduce obligated parties' potential liability and </w:t>
      </w:r>
      <w:r w:rsidR="004844B8">
        <w:rPr>
          <w:rFonts w:ascii="Mark Pro" w:eastAsia="HGGothicE" w:hAnsi="Mark Pro" w:cs="Arial"/>
          <w:color w:val="000000" w:themeColor="text1"/>
        </w:rPr>
        <w:t>incentivise</w:t>
      </w:r>
      <w:r w:rsidRPr="004844B8">
        <w:rPr>
          <w:rFonts w:ascii="Mark Pro" w:eastAsia="HGGothicE" w:hAnsi="Mark Pro" w:cs="Arial"/>
          <w:color w:val="000000" w:themeColor="text1"/>
        </w:rPr>
        <w:t xml:space="preserve"> heat pump deployment.</w:t>
      </w:r>
    </w:p>
    <w:p w14:paraId="034ECB2B" w14:textId="2795DA7F" w:rsidR="0001342B" w:rsidRPr="004844B8" w:rsidRDefault="0001342B" w:rsidP="00426E81">
      <w:pPr>
        <w:pStyle w:val="ListParagraph"/>
        <w:numPr>
          <w:ilvl w:val="0"/>
          <w:numId w:val="28"/>
        </w:numPr>
        <w:spacing w:after="120" w:line="276" w:lineRule="auto"/>
        <w:ind w:left="714" w:hanging="357"/>
        <w:contextualSpacing w:val="0"/>
        <w:rPr>
          <w:rFonts w:ascii="Mark Pro" w:eastAsia="HGGothicE" w:hAnsi="Mark Pro" w:cs="Arial"/>
          <w:color w:val="000000" w:themeColor="text1"/>
        </w:rPr>
      </w:pPr>
      <w:r w:rsidRPr="004844B8">
        <w:rPr>
          <w:rFonts w:ascii="Mark Pro" w:eastAsia="HGGothicE" w:hAnsi="Mark Pro" w:cs="Arial"/>
          <w:color w:val="000000" w:themeColor="text1"/>
        </w:rPr>
        <w:t xml:space="preserve">Postponement of requiring heat pump manufacturers to produce supply chain plans to </w:t>
      </w:r>
      <w:r w:rsidR="004844B8">
        <w:rPr>
          <w:rFonts w:ascii="Mark Pro" w:eastAsia="HGGothicE" w:hAnsi="Mark Pro" w:cs="Arial"/>
          <w:color w:val="000000" w:themeColor="text1"/>
        </w:rPr>
        <w:t>minimise</w:t>
      </w:r>
      <w:r w:rsidRPr="004844B8">
        <w:rPr>
          <w:rFonts w:ascii="Mark Pro" w:eastAsia="HGGothicE" w:hAnsi="Mark Pro" w:cs="Arial"/>
          <w:color w:val="000000" w:themeColor="text1"/>
        </w:rPr>
        <w:t xml:space="preserve"> initial administrative burdens.</w:t>
      </w:r>
    </w:p>
    <w:p w14:paraId="60D1FDE3" w14:textId="5A93DAA4" w:rsidR="00A7181C" w:rsidRPr="004844B8" w:rsidRDefault="0001342B" w:rsidP="00426E81">
      <w:pPr>
        <w:spacing w:after="120" w:line="276" w:lineRule="auto"/>
        <w:rPr>
          <w:rFonts w:ascii="Mark Pro" w:eastAsia="HGGothicE" w:hAnsi="Mark Pro" w:cs="Arial"/>
          <w:color w:val="000000" w:themeColor="text1"/>
        </w:rPr>
      </w:pPr>
      <w:r w:rsidRPr="004844B8">
        <w:rPr>
          <w:rFonts w:ascii="Mark Pro" w:eastAsia="HGGothicE" w:hAnsi="Mark Pro" w:cs="Arial"/>
          <w:color w:val="000000" w:themeColor="text1"/>
        </w:rPr>
        <w:t>The scheme's credit transfer notification period will be annual, from</w:t>
      </w:r>
      <w:r w:rsidR="004844B8">
        <w:rPr>
          <w:rFonts w:ascii="Mark Pro" w:eastAsia="HGGothicE" w:hAnsi="Mark Pro" w:cs="Arial"/>
          <w:color w:val="000000" w:themeColor="text1"/>
        </w:rPr>
        <w:t xml:space="preserve"> 1</w:t>
      </w:r>
      <w:r w:rsidRPr="004844B8">
        <w:rPr>
          <w:rFonts w:ascii="Mark Pro" w:eastAsia="HGGothicE" w:hAnsi="Mark Pro" w:cs="Arial"/>
          <w:color w:val="000000" w:themeColor="text1"/>
        </w:rPr>
        <w:t xml:space="preserve"> October</w:t>
      </w:r>
      <w:r w:rsidR="004844B8">
        <w:rPr>
          <w:rFonts w:ascii="Mark Pro" w:eastAsia="HGGothicE" w:hAnsi="Mark Pro" w:cs="Arial"/>
          <w:color w:val="000000" w:themeColor="text1"/>
        </w:rPr>
        <w:t xml:space="preserve"> </w:t>
      </w:r>
      <w:r w:rsidRPr="004844B8">
        <w:rPr>
          <w:rFonts w:ascii="Mark Pro" w:eastAsia="HGGothicE" w:hAnsi="Mark Pro" w:cs="Arial"/>
          <w:color w:val="000000" w:themeColor="text1"/>
        </w:rPr>
        <w:t xml:space="preserve">to </w:t>
      </w:r>
      <w:r w:rsidR="004844B8">
        <w:rPr>
          <w:rFonts w:ascii="Mark Pro" w:eastAsia="HGGothicE" w:hAnsi="Mark Pro" w:cs="Arial"/>
          <w:color w:val="000000" w:themeColor="text1"/>
        </w:rPr>
        <w:t xml:space="preserve">30 </w:t>
      </w:r>
      <w:r w:rsidRPr="004844B8">
        <w:rPr>
          <w:rFonts w:ascii="Mark Pro" w:eastAsia="HGGothicE" w:hAnsi="Mark Pro" w:cs="Arial"/>
          <w:color w:val="000000" w:themeColor="text1"/>
        </w:rPr>
        <w:t>September, simplifying timelines. The Environment Agency will administer and regulate the CHMM, with ongoing assessments to adapt the mechanism to market developments and encourage the transition to low-carbon heating.</w:t>
      </w:r>
    </w:p>
    <w:p w14:paraId="7DAD4789" w14:textId="77777777" w:rsidR="00A7181C" w:rsidRDefault="00A7181C" w:rsidP="00426E81">
      <w:pPr>
        <w:spacing w:after="120" w:line="276" w:lineRule="auto"/>
        <w:rPr>
          <w:rFonts w:ascii="Mark Pro" w:eastAsia="HGGothicE" w:hAnsi="Mark Pro" w:cs="Arial"/>
          <w:b/>
          <w:bCs/>
          <w:color w:val="00205B"/>
          <w:sz w:val="24"/>
          <w:szCs w:val="24"/>
        </w:rPr>
      </w:pPr>
    </w:p>
    <w:p w14:paraId="233E8254" w14:textId="7E29A372" w:rsidR="00151643" w:rsidRPr="002B0B58" w:rsidRDefault="00C53FB7" w:rsidP="00426E81">
      <w:pPr>
        <w:spacing w:after="120" w:line="276" w:lineRule="auto"/>
        <w:rPr>
          <w:rFonts w:ascii="Mark Pro" w:eastAsia="HGGothicE" w:hAnsi="Mark Pro" w:cs="Arial"/>
          <w:b/>
          <w:bCs/>
          <w:color w:val="00205B"/>
          <w:sz w:val="24"/>
          <w:szCs w:val="24"/>
        </w:rPr>
      </w:pPr>
      <w:r w:rsidRPr="002B0B58">
        <w:rPr>
          <w:rFonts w:ascii="Mark Pro" w:eastAsia="HGGothicE" w:hAnsi="Mark Pro" w:cs="Arial"/>
          <w:b/>
          <w:bCs/>
          <w:color w:val="00205B"/>
          <w:sz w:val="24"/>
          <w:szCs w:val="24"/>
        </w:rPr>
        <w:t>SNIPEF consultation s</w:t>
      </w:r>
      <w:r w:rsidR="00151643" w:rsidRPr="002B0B58">
        <w:rPr>
          <w:rFonts w:ascii="Mark Pro" w:eastAsia="HGGothicE" w:hAnsi="Mark Pro" w:cs="Arial"/>
          <w:b/>
          <w:bCs/>
          <w:color w:val="00205B"/>
          <w:sz w:val="24"/>
          <w:szCs w:val="24"/>
        </w:rPr>
        <w:t>ubmission against consultation summary and Government response</w:t>
      </w:r>
    </w:p>
    <w:p w14:paraId="3CC35150" w14:textId="682616B4" w:rsidR="0034526E" w:rsidRDefault="006F1594" w:rsidP="00426E81">
      <w:pPr>
        <w:spacing w:after="120" w:line="276" w:lineRule="auto"/>
        <w:rPr>
          <w:rFonts w:ascii="Mark Pro" w:eastAsia="HGGothicE" w:hAnsi="Mark Pro" w:cs="Arial"/>
        </w:rPr>
      </w:pPr>
      <w:r>
        <w:rPr>
          <w:rFonts w:ascii="Mark Pro" w:eastAsia="HGGothicE" w:hAnsi="Mark Pro" w:cs="Arial"/>
          <w:b/>
          <w:bCs/>
        </w:rPr>
        <w:t>QUESTION</w:t>
      </w:r>
      <w:r w:rsidR="0034526E" w:rsidRPr="0034526E">
        <w:rPr>
          <w:rFonts w:ascii="Mark Pro" w:eastAsia="HGGothicE" w:hAnsi="Mark Pro" w:cs="Arial"/>
          <w:b/>
          <w:bCs/>
        </w:rPr>
        <w:t xml:space="preserve"> 1:</w:t>
      </w:r>
      <w:r w:rsidR="0034526E">
        <w:rPr>
          <w:rFonts w:ascii="Mark Pro" w:eastAsia="HGGothicE" w:hAnsi="Mark Pro" w:cs="Arial"/>
        </w:rPr>
        <w:t xml:space="preserve"> </w:t>
      </w:r>
      <w:r w:rsidR="0034526E" w:rsidRPr="0034526E">
        <w:rPr>
          <w:rFonts w:ascii="Mark Pro" w:eastAsia="HGGothicE" w:hAnsi="Mark Pro" w:cs="Arial"/>
        </w:rPr>
        <w:t xml:space="preserve">Do you agree with the </w:t>
      </w:r>
      <w:r w:rsidR="002E661B">
        <w:rPr>
          <w:rFonts w:ascii="Mark Pro" w:eastAsia="HGGothicE" w:hAnsi="Mark Pro" w:cs="Arial"/>
        </w:rPr>
        <w:t xml:space="preserve">proposals </w:t>
      </w:r>
      <w:r w:rsidR="0034526E" w:rsidRPr="0034526E">
        <w:rPr>
          <w:rFonts w:ascii="Mark Pro" w:eastAsia="HGGothicE" w:hAnsi="Mark Pro" w:cs="Arial"/>
        </w:rPr>
        <w:t>here for what constitutes a qualifying heat pump installation</w:t>
      </w:r>
      <w:r w:rsidR="002E661B">
        <w:rPr>
          <w:rFonts w:ascii="Mark Pro" w:eastAsia="HGGothicE" w:hAnsi="Mark Pro" w:cs="Arial"/>
        </w:rPr>
        <w:t>? (</w:t>
      </w:r>
      <w:proofErr w:type="gramStart"/>
      <w:r w:rsidR="002E661B">
        <w:rPr>
          <w:rFonts w:ascii="Mark Pro" w:eastAsia="HGGothicE" w:hAnsi="Mark Pro" w:cs="Arial"/>
        </w:rPr>
        <w:t>ie</w:t>
      </w:r>
      <w:proofErr w:type="gramEnd"/>
      <w:r w:rsidR="002E661B">
        <w:rPr>
          <w:rFonts w:ascii="Mark Pro" w:eastAsia="HGGothicE" w:hAnsi="Mark Pro" w:cs="Arial"/>
        </w:rPr>
        <w:t xml:space="preserve">. To exclude heat pump from new builds) </w:t>
      </w:r>
    </w:p>
    <w:p w14:paraId="7BC34130" w14:textId="5F03A3AE" w:rsidR="0034526E" w:rsidRPr="0034526E" w:rsidRDefault="0034526E" w:rsidP="00426E81">
      <w:pPr>
        <w:spacing w:after="120" w:line="276" w:lineRule="auto"/>
        <w:rPr>
          <w:rFonts w:ascii="Mark Pro" w:eastAsia="HGGothicE" w:hAnsi="Mark Pro" w:cs="Arial"/>
          <w:color w:val="FF0000"/>
        </w:rPr>
      </w:pPr>
      <w:r w:rsidRPr="0034526E">
        <w:rPr>
          <w:rFonts w:ascii="Mark Pro" w:eastAsia="HGGothicE" w:hAnsi="Mark Pro" w:cs="Arial"/>
          <w:color w:val="FF0000"/>
        </w:rPr>
        <w:t>SNIPEF did not submit a response to this question.</w:t>
      </w:r>
    </w:p>
    <w:p w14:paraId="4B3FDC42" w14:textId="15441BFD" w:rsidR="0034526E" w:rsidRPr="0034526E" w:rsidRDefault="0034526E" w:rsidP="00426E81">
      <w:pPr>
        <w:spacing w:after="120" w:line="276" w:lineRule="auto"/>
        <w:rPr>
          <w:rFonts w:ascii="Mark Pro" w:eastAsia="HGGothicE" w:hAnsi="Mark Pro" w:cs="Arial"/>
          <w:u w:val="single"/>
        </w:rPr>
      </w:pPr>
      <w:r w:rsidRPr="0034526E">
        <w:rPr>
          <w:rFonts w:ascii="Mark Pro" w:eastAsia="HGGothicE" w:hAnsi="Mark Pro" w:cs="Arial"/>
          <w:u w:val="single"/>
        </w:rPr>
        <w:t>Consultation response</w:t>
      </w:r>
    </w:p>
    <w:p w14:paraId="0CB284C8" w14:textId="77777777" w:rsidR="002B0B58" w:rsidRDefault="006F1594" w:rsidP="00426E81">
      <w:pPr>
        <w:spacing w:after="120" w:line="276" w:lineRule="auto"/>
        <w:rPr>
          <w:rFonts w:ascii="Mark Pro" w:eastAsia="HGGothicE" w:hAnsi="Mark Pro" w:cs="Arial"/>
        </w:rPr>
      </w:pPr>
      <w:r w:rsidRPr="006F1594">
        <w:rPr>
          <w:rFonts w:ascii="Mark Pro" w:eastAsia="HGGothicE" w:hAnsi="Mark Pro" w:cs="Arial"/>
        </w:rPr>
        <w:t xml:space="preserve">Of 63 respondents, 24, mainly heat pump specialists, supported excluding new-build heat pumps from 'qualifying heat pump' under the belief that the Future Home Standard would drive new-build market growth. </w:t>
      </w:r>
    </w:p>
    <w:p w14:paraId="76DC4C38" w14:textId="27F7B11D" w:rsidR="0034526E" w:rsidRDefault="006F1594" w:rsidP="00426E81">
      <w:pPr>
        <w:spacing w:after="120" w:line="276" w:lineRule="auto"/>
        <w:rPr>
          <w:rFonts w:ascii="Mark Pro" w:eastAsia="HGGothicE" w:hAnsi="Mark Pro" w:cs="Arial"/>
        </w:rPr>
      </w:pPr>
      <w:r w:rsidRPr="006F1594">
        <w:rPr>
          <w:rFonts w:ascii="Mark Pro" w:eastAsia="HGGothicE" w:hAnsi="Mark Pro" w:cs="Arial"/>
        </w:rPr>
        <w:t xml:space="preserve">Twenty, </w:t>
      </w:r>
      <w:r w:rsidR="002B0B58">
        <w:rPr>
          <w:rFonts w:ascii="Mark Pro" w:eastAsia="HGGothicE" w:hAnsi="Mark Pro" w:cs="Arial"/>
        </w:rPr>
        <w:t>mainly</w:t>
      </w:r>
      <w:r w:rsidRPr="006F1594">
        <w:rPr>
          <w:rFonts w:ascii="Mark Pro" w:eastAsia="HGGothicE" w:hAnsi="Mark Pro" w:cs="Arial"/>
        </w:rPr>
        <w:t xml:space="preserve"> fossil fuel appliance makers, opposed this, arguing it's contradictory to include </w:t>
      </w:r>
      <w:r>
        <w:rPr>
          <w:rFonts w:ascii="Mark Pro" w:eastAsia="HGGothicE" w:hAnsi="Mark Pro" w:cs="Arial"/>
        </w:rPr>
        <w:t>new build boilers in obligation calculations but not newly built</w:t>
      </w:r>
      <w:r w:rsidRPr="006F1594">
        <w:rPr>
          <w:rFonts w:ascii="Mark Pro" w:eastAsia="HGGothicE" w:hAnsi="Mark Pro" w:cs="Arial"/>
        </w:rPr>
        <w:t xml:space="preserve"> heat pump credits. They noted challenges in tracking and forecasting heat pump deployment in new builds</w:t>
      </w:r>
      <w:r w:rsidR="002B0B58">
        <w:rPr>
          <w:rFonts w:ascii="Mark Pro" w:eastAsia="HGGothicE" w:hAnsi="Mark Pro" w:cs="Arial"/>
        </w:rPr>
        <w:t>. At the same time,</w:t>
      </w:r>
      <w:r w:rsidRPr="006F1594">
        <w:rPr>
          <w:rFonts w:ascii="Mark Pro" w:eastAsia="HGGothicE" w:hAnsi="Mark Pro" w:cs="Arial"/>
        </w:rPr>
        <w:t xml:space="preserve"> a few respondents mentioned that new-build heat pump data should be traceable through financial processes and contracts with developers.</w:t>
      </w:r>
    </w:p>
    <w:p w14:paraId="695E2E1D" w14:textId="77777777" w:rsidR="006F1594" w:rsidRPr="0034526E" w:rsidRDefault="006F1594" w:rsidP="00426E81">
      <w:pPr>
        <w:spacing w:after="120" w:line="276" w:lineRule="auto"/>
        <w:rPr>
          <w:rFonts w:ascii="Mark Pro" w:eastAsia="HGGothicE" w:hAnsi="Mark Pro" w:cs="Arial"/>
        </w:rPr>
      </w:pPr>
    </w:p>
    <w:p w14:paraId="3B5E8C19" w14:textId="2C132E19" w:rsidR="00A62C0C" w:rsidRPr="00A62C0C" w:rsidRDefault="00A62C0C" w:rsidP="00426E81">
      <w:pPr>
        <w:spacing w:after="120" w:line="276" w:lineRule="auto"/>
        <w:rPr>
          <w:rFonts w:ascii="Mark Pro" w:eastAsia="HGGothicE" w:hAnsi="Mark Pro" w:cs="Arial"/>
        </w:rPr>
      </w:pPr>
      <w:r w:rsidRPr="00A62C0C">
        <w:rPr>
          <w:rFonts w:ascii="Mark Pro" w:eastAsia="HGGothicE" w:hAnsi="Mark Pro" w:cs="Arial"/>
          <w:b/>
          <w:bCs/>
        </w:rPr>
        <w:lastRenderedPageBreak/>
        <w:t>QUESTION 2:</w:t>
      </w:r>
      <w:r w:rsidRPr="00A62C0C">
        <w:rPr>
          <w:rFonts w:ascii="Mark Pro" w:eastAsia="HGGothicE" w:hAnsi="Mark Pro" w:cs="Arial"/>
        </w:rPr>
        <w:t xml:space="preserve"> Do you have views on any positive or negative impacts the decision to focus the Clean Heat Market Mechanism on the retrofit market may have on the new-build heat pump market, including installer skills and supply chains?</w:t>
      </w:r>
    </w:p>
    <w:p w14:paraId="1CAFFD37" w14:textId="2488BDB6" w:rsidR="002B0B58" w:rsidRPr="000E4811" w:rsidRDefault="00A62C0C" w:rsidP="000E4811">
      <w:pPr>
        <w:pStyle w:val="ListParagraph"/>
        <w:numPr>
          <w:ilvl w:val="0"/>
          <w:numId w:val="5"/>
        </w:numPr>
        <w:spacing w:after="120" w:line="276" w:lineRule="auto"/>
        <w:ind w:left="714" w:hanging="357"/>
        <w:contextualSpacing w:val="0"/>
        <w:rPr>
          <w:rFonts w:ascii="Mark Pro" w:eastAsia="HGGothicE" w:hAnsi="Mark Pro" w:cs="Arial"/>
        </w:rPr>
      </w:pPr>
      <w:r w:rsidRPr="00C53FB7">
        <w:rPr>
          <w:rFonts w:ascii="Mark Pro" w:eastAsia="HGGothicE" w:hAnsi="Mark Pro" w:cs="Arial"/>
          <w:b/>
          <w:bCs/>
        </w:rPr>
        <w:t>SNIPEF</w:t>
      </w:r>
      <w:r w:rsidRPr="000E4811">
        <w:rPr>
          <w:rFonts w:ascii="Mark Pro" w:eastAsia="HGGothicE" w:hAnsi="Mark Pro" w:cs="Arial"/>
          <w:b/>
          <w:bCs/>
        </w:rPr>
        <w:t xml:space="preserve"> </w:t>
      </w:r>
      <w:r w:rsidR="005D0F0E" w:rsidRPr="000E4811">
        <w:rPr>
          <w:rFonts w:ascii="Mark Pro" w:eastAsia="HGGothicE" w:hAnsi="Mark Pro" w:cs="Arial"/>
          <w:b/>
          <w:bCs/>
        </w:rPr>
        <w:t>submission</w:t>
      </w:r>
      <w:r w:rsidRPr="000E4811">
        <w:rPr>
          <w:rFonts w:ascii="Mark Pro" w:eastAsia="HGGothicE" w:hAnsi="Mark Pro" w:cs="Arial"/>
        </w:rPr>
        <w:t xml:space="preserve">: SNIPEF expressed concerns about the potential negative impact on the retrofit market, highlighting the risk of direct sales between manufacturers and consumers, potentially leading to underqualified installers and inferior installations. </w:t>
      </w:r>
      <w:r w:rsidR="005D0F0E" w:rsidRPr="000E4811">
        <w:rPr>
          <w:rFonts w:ascii="Mark Pro" w:eastAsia="HGGothicE" w:hAnsi="Mark Pro" w:cs="Arial"/>
        </w:rPr>
        <w:t>SNIPEF</w:t>
      </w:r>
      <w:r w:rsidRPr="000E4811">
        <w:rPr>
          <w:rFonts w:ascii="Mark Pro" w:eastAsia="HGGothicE" w:hAnsi="Mark Pro" w:cs="Arial"/>
        </w:rPr>
        <w:t xml:space="preserve"> also mentioned the need for certification in retrofit installations and the existing market dynamics between installers, merchants, and manufacturers.</w:t>
      </w:r>
    </w:p>
    <w:p w14:paraId="3531420C" w14:textId="6C6E9837" w:rsidR="00A62C0C" w:rsidRPr="00C53FB7" w:rsidRDefault="00A62C0C" w:rsidP="00426E81">
      <w:pPr>
        <w:pStyle w:val="ListParagraph"/>
        <w:numPr>
          <w:ilvl w:val="0"/>
          <w:numId w:val="5"/>
        </w:numPr>
        <w:spacing w:after="120" w:line="276" w:lineRule="auto"/>
        <w:ind w:left="714" w:hanging="357"/>
        <w:contextualSpacing w:val="0"/>
        <w:rPr>
          <w:rFonts w:ascii="Mark Pro" w:eastAsia="HGGothicE" w:hAnsi="Mark Pro" w:cs="Arial"/>
        </w:rPr>
      </w:pPr>
      <w:r w:rsidRPr="00C53FB7">
        <w:rPr>
          <w:rFonts w:ascii="Mark Pro" w:eastAsia="HGGothicE" w:hAnsi="Mark Pro" w:cs="Arial"/>
          <w:b/>
          <w:bCs/>
        </w:rPr>
        <w:t xml:space="preserve">Consultation </w:t>
      </w:r>
      <w:r w:rsidR="006F1594">
        <w:rPr>
          <w:rFonts w:ascii="Mark Pro" w:eastAsia="HGGothicE" w:hAnsi="Mark Pro" w:cs="Arial"/>
          <w:b/>
          <w:bCs/>
        </w:rPr>
        <w:t>r</w:t>
      </w:r>
      <w:r w:rsidR="00C53FB7" w:rsidRPr="00C53FB7">
        <w:rPr>
          <w:rFonts w:ascii="Mark Pro" w:eastAsia="HGGothicE" w:hAnsi="Mark Pro" w:cs="Arial"/>
          <w:b/>
          <w:bCs/>
        </w:rPr>
        <w:t>epor</w:t>
      </w:r>
      <w:r w:rsidRPr="00C53FB7">
        <w:rPr>
          <w:rFonts w:ascii="Mark Pro" w:eastAsia="HGGothicE" w:hAnsi="Mark Pro" w:cs="Arial"/>
          <w:b/>
          <w:bCs/>
        </w:rPr>
        <w:t xml:space="preserve">t </w:t>
      </w:r>
      <w:r w:rsidR="006F1594">
        <w:rPr>
          <w:rFonts w:ascii="Mark Pro" w:eastAsia="HGGothicE" w:hAnsi="Mark Pro" w:cs="Arial"/>
          <w:b/>
          <w:bCs/>
        </w:rPr>
        <w:t>s</w:t>
      </w:r>
      <w:r w:rsidRPr="00C53FB7">
        <w:rPr>
          <w:rFonts w:ascii="Mark Pro" w:eastAsia="HGGothicE" w:hAnsi="Mark Pro" w:cs="Arial"/>
          <w:b/>
          <w:bCs/>
        </w:rPr>
        <w:t>ummary</w:t>
      </w:r>
      <w:r w:rsidRPr="00C53FB7">
        <w:rPr>
          <w:rFonts w:ascii="Mark Pro" w:eastAsia="HGGothicE" w:hAnsi="Mark Pro" w:cs="Arial"/>
        </w:rPr>
        <w:t xml:space="preserve">: The consultation report indicated a mixed response from various stakeholders. While some did not foresee a significant impact on the new-build heat pump market, others expressed concerns about potential </w:t>
      </w:r>
      <w:r w:rsidR="00C53FB7">
        <w:rPr>
          <w:rFonts w:ascii="Mark Pro" w:eastAsia="HGGothicE" w:hAnsi="Mark Pro" w:cs="Arial"/>
        </w:rPr>
        <w:t>adverse</w:t>
      </w:r>
      <w:r w:rsidRPr="00C53FB7">
        <w:rPr>
          <w:rFonts w:ascii="Mark Pro" w:eastAsia="HGGothicE" w:hAnsi="Mark Pro" w:cs="Arial"/>
        </w:rPr>
        <w:t xml:space="preserve"> </w:t>
      </w:r>
      <w:r w:rsidR="00C53FB7" w:rsidRPr="00C53FB7">
        <w:rPr>
          <w:rFonts w:ascii="Mark Pro" w:eastAsia="HGGothicE" w:hAnsi="Mark Pro" w:cs="Arial"/>
        </w:rPr>
        <w:t>effects</w:t>
      </w:r>
      <w:r w:rsidRPr="00C53FB7">
        <w:rPr>
          <w:rFonts w:ascii="Mark Pro" w:eastAsia="HGGothicE" w:hAnsi="Mark Pro" w:cs="Arial"/>
        </w:rPr>
        <w:t xml:space="preserve"> such as lower deployment or higher prices in the new-build sector and a strain on installer capacity.</w:t>
      </w:r>
    </w:p>
    <w:p w14:paraId="16E676E6" w14:textId="43B8D4B6" w:rsidR="00C53FB7" w:rsidRPr="00BC3D9E" w:rsidRDefault="00A62C0C" w:rsidP="00426E81">
      <w:pPr>
        <w:pStyle w:val="ListParagraph"/>
        <w:numPr>
          <w:ilvl w:val="0"/>
          <w:numId w:val="5"/>
        </w:numPr>
        <w:spacing w:after="120" w:line="276" w:lineRule="auto"/>
        <w:ind w:left="714" w:hanging="357"/>
        <w:contextualSpacing w:val="0"/>
        <w:rPr>
          <w:rFonts w:ascii="Mark Pro" w:eastAsia="HGGothicE" w:hAnsi="Mark Pro" w:cs="Arial"/>
        </w:rPr>
      </w:pPr>
      <w:r w:rsidRPr="00C53FB7">
        <w:rPr>
          <w:rFonts w:ascii="Mark Pro" w:eastAsia="HGGothicE" w:hAnsi="Mark Pro" w:cs="Arial"/>
          <w:b/>
          <w:bCs/>
        </w:rPr>
        <w:t xml:space="preserve">Government's </w:t>
      </w:r>
      <w:r w:rsidR="006F1594">
        <w:rPr>
          <w:rFonts w:ascii="Mark Pro" w:eastAsia="HGGothicE" w:hAnsi="Mark Pro" w:cs="Arial"/>
          <w:b/>
          <w:bCs/>
        </w:rPr>
        <w:t>r</w:t>
      </w:r>
      <w:r w:rsidRPr="00C53FB7">
        <w:rPr>
          <w:rFonts w:ascii="Mark Pro" w:eastAsia="HGGothicE" w:hAnsi="Mark Pro" w:cs="Arial"/>
          <w:b/>
          <w:bCs/>
        </w:rPr>
        <w:t>esponse</w:t>
      </w:r>
      <w:r w:rsidR="006F1594">
        <w:rPr>
          <w:rFonts w:ascii="Mark Pro" w:eastAsia="HGGothicE" w:hAnsi="Mark Pro" w:cs="Arial"/>
          <w:b/>
          <w:bCs/>
        </w:rPr>
        <w:t xml:space="preserve"> to questions one and two</w:t>
      </w:r>
      <w:r w:rsidRPr="00A62C0C">
        <w:rPr>
          <w:rFonts w:ascii="Mark Pro" w:eastAsia="HGGothicE" w:hAnsi="Mark Pro" w:cs="Arial"/>
        </w:rPr>
        <w:t xml:space="preserve">: The government </w:t>
      </w:r>
      <w:r w:rsidR="006F1594">
        <w:rPr>
          <w:rFonts w:ascii="Mark Pro" w:eastAsia="HGGothicE" w:hAnsi="Mark Pro" w:cs="Arial"/>
        </w:rPr>
        <w:t xml:space="preserve">has </w:t>
      </w:r>
      <w:r w:rsidRPr="00A62C0C">
        <w:rPr>
          <w:rFonts w:ascii="Mark Pro" w:eastAsia="HGGothicE" w:hAnsi="Mark Pro" w:cs="Arial"/>
        </w:rPr>
        <w:t xml:space="preserve">decided to maintain its initial proposal regarding what constitutes a qualifying heat pump and how to identify </w:t>
      </w:r>
      <w:r w:rsidR="00C53FB7">
        <w:rPr>
          <w:rFonts w:ascii="Mark Pro" w:eastAsia="HGGothicE" w:hAnsi="Mark Pro" w:cs="Arial"/>
        </w:rPr>
        <w:t>it</w:t>
      </w:r>
      <w:r w:rsidRPr="00A62C0C">
        <w:rPr>
          <w:rFonts w:ascii="Mark Pro" w:eastAsia="HGGothicE" w:hAnsi="Mark Pro" w:cs="Arial"/>
        </w:rPr>
        <w:t xml:space="preserve">. They acknowledged the inconsistency in including the sales of fossil fuel boilers to new-build properties in target calculations and decided to exclude such sales. The government also </w:t>
      </w:r>
      <w:r w:rsidR="00C53FB7">
        <w:rPr>
          <w:rFonts w:ascii="Mark Pro" w:eastAsia="HGGothicE" w:hAnsi="Mark Pro" w:cs="Arial"/>
        </w:rPr>
        <w:t>emphasised</w:t>
      </w:r>
      <w:r w:rsidRPr="00A62C0C">
        <w:rPr>
          <w:rFonts w:ascii="Mark Pro" w:eastAsia="HGGothicE" w:hAnsi="Mark Pro" w:cs="Arial"/>
        </w:rPr>
        <w:t xml:space="preserve"> their focus on supporting the heat pump market, including installer growth, through various other schemes</w:t>
      </w:r>
      <w:r w:rsidR="00886CB8">
        <w:rPr>
          <w:rFonts w:ascii="Mark Pro" w:eastAsia="HGGothicE" w:hAnsi="Mark Pro" w:cs="Arial"/>
        </w:rPr>
        <w:t>. Still, it maintained</w:t>
      </w:r>
      <w:r w:rsidRPr="00A62C0C">
        <w:rPr>
          <w:rFonts w:ascii="Mark Pro" w:eastAsia="HGGothicE" w:hAnsi="Mark Pro" w:cs="Arial"/>
        </w:rPr>
        <w:t xml:space="preserve"> a sole focus on awarding credits for qualifying heat pump installations under this </w:t>
      </w:r>
      <w:r w:rsidR="002B0B58" w:rsidRPr="00A62C0C">
        <w:rPr>
          <w:rFonts w:ascii="Mark Pro" w:eastAsia="HGGothicE" w:hAnsi="Mark Pro" w:cs="Arial"/>
        </w:rPr>
        <w:t>mechanism</w:t>
      </w:r>
      <w:r w:rsidRPr="00A62C0C">
        <w:rPr>
          <w:rFonts w:ascii="Mark Pro" w:eastAsia="HGGothicE" w:hAnsi="Mark Pro" w:cs="Arial"/>
        </w:rPr>
        <w:t>.</w:t>
      </w:r>
    </w:p>
    <w:p w14:paraId="487EB64B" w14:textId="6E744C6E" w:rsidR="00A62C0C" w:rsidRPr="00A62C0C" w:rsidRDefault="00924E9E" w:rsidP="00426E81">
      <w:pPr>
        <w:spacing w:after="120" w:line="276" w:lineRule="auto"/>
        <w:rPr>
          <w:rFonts w:ascii="Mark Pro" w:eastAsia="HGGothicE" w:hAnsi="Mark Pro" w:cs="Arial"/>
        </w:rPr>
      </w:pPr>
      <w:r w:rsidRPr="00924E9E">
        <w:rPr>
          <w:rFonts w:ascii="Mark Pro" w:eastAsia="HGGothicE" w:hAnsi="Mark Pro" w:cs="Arial"/>
          <w:b/>
          <w:bCs/>
        </w:rPr>
        <w:t>Partial agreement</w:t>
      </w:r>
      <w:r w:rsidR="00886CB8">
        <w:rPr>
          <w:rFonts w:ascii="Mark Pro" w:eastAsia="HGGothicE" w:hAnsi="Mark Pro" w:cs="Arial"/>
          <w:b/>
          <w:bCs/>
        </w:rPr>
        <w:t xml:space="preserve"> with SNIPEF</w:t>
      </w:r>
      <w:r w:rsidR="002B0B58">
        <w:rPr>
          <w:rFonts w:ascii="Mark Pro" w:eastAsia="HGGothicE" w:hAnsi="Mark Pro" w:cs="Arial"/>
          <w:b/>
          <w:bCs/>
        </w:rPr>
        <w:t xml:space="preserve"> submission</w:t>
      </w:r>
    </w:p>
    <w:p w14:paraId="5036F315" w14:textId="77777777" w:rsidR="002B0B58" w:rsidRDefault="002B0B58" w:rsidP="00426E81">
      <w:pPr>
        <w:spacing w:after="120" w:line="276" w:lineRule="auto"/>
        <w:rPr>
          <w:rFonts w:ascii="Mark Pro" w:eastAsia="HGGothicE" w:hAnsi="Mark Pro" w:cs="Arial"/>
          <w:b/>
          <w:bCs/>
        </w:rPr>
      </w:pPr>
    </w:p>
    <w:p w14:paraId="0E8278AB" w14:textId="57FE4201" w:rsidR="00A62C0C" w:rsidRDefault="00BC3D9E" w:rsidP="00426E81">
      <w:pPr>
        <w:spacing w:after="120" w:line="276" w:lineRule="auto"/>
        <w:rPr>
          <w:rFonts w:ascii="Mark Pro" w:eastAsia="HGGothicE" w:hAnsi="Mark Pro" w:cs="Arial"/>
        </w:rPr>
      </w:pPr>
      <w:r>
        <w:rPr>
          <w:rFonts w:ascii="Mark Pro" w:eastAsia="HGGothicE" w:hAnsi="Mark Pro" w:cs="Arial"/>
          <w:b/>
          <w:bCs/>
        </w:rPr>
        <w:t xml:space="preserve">QUESTION </w:t>
      </w:r>
      <w:r w:rsidRPr="00BC3D9E">
        <w:rPr>
          <w:rFonts w:ascii="Mark Pro" w:eastAsia="HGGothicE" w:hAnsi="Mark Pro" w:cs="Arial"/>
          <w:b/>
          <w:bCs/>
        </w:rPr>
        <w:t>3:</w:t>
      </w:r>
      <w:r>
        <w:rPr>
          <w:rFonts w:ascii="Mark Pro" w:eastAsia="HGGothicE" w:hAnsi="Mark Pro" w:cs="Arial"/>
        </w:rPr>
        <w:t xml:space="preserve"> </w:t>
      </w:r>
      <w:r w:rsidRPr="00BC3D9E">
        <w:rPr>
          <w:rFonts w:ascii="Mark Pro" w:eastAsia="HGGothicE" w:hAnsi="Mark Pro" w:cs="Arial"/>
        </w:rPr>
        <w:t>Do you agree with the proposals for obligated parties here?</w:t>
      </w:r>
    </w:p>
    <w:p w14:paraId="5E8D24CD" w14:textId="03C0ABA5" w:rsidR="00BC3D9E" w:rsidRPr="00BC3D9E" w:rsidRDefault="00BC3D9E"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3F14F031" w14:textId="37AEBD5C" w:rsidR="00BC3D9E" w:rsidRPr="00BC3D9E" w:rsidRDefault="00BC3D9E"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2D6E5B12" w14:textId="2F9E633D" w:rsidR="00BC3D9E" w:rsidRDefault="006F1594" w:rsidP="00426E81">
      <w:pPr>
        <w:spacing w:after="120" w:line="276" w:lineRule="auto"/>
        <w:rPr>
          <w:rFonts w:ascii="Mark Pro" w:eastAsia="HGGothicE" w:hAnsi="Mark Pro" w:cs="Arial"/>
        </w:rPr>
      </w:pPr>
      <w:r w:rsidRPr="006F1594">
        <w:rPr>
          <w:rFonts w:ascii="Mark Pro" w:eastAsia="HGGothicE" w:hAnsi="Mark Pro" w:cs="Arial"/>
        </w:rPr>
        <w:t xml:space="preserve">Most respondents (35) supported placing the scheme obligation on gas and oil boiler manufacturers, citing increased market certainty and </w:t>
      </w:r>
      <w:r w:rsidR="002B0B58">
        <w:rPr>
          <w:rFonts w:ascii="Mark Pro" w:eastAsia="HGGothicE" w:hAnsi="Mark Pro" w:cs="Arial"/>
        </w:rPr>
        <w:t>heat pump market investment incentives</w:t>
      </w:r>
      <w:r w:rsidRPr="006F1594">
        <w:rPr>
          <w:rFonts w:ascii="Mark Pro" w:eastAsia="HGGothicE" w:hAnsi="Mark Pro" w:cs="Arial"/>
        </w:rPr>
        <w:t>. Others felt it ensured a level playing field or was more feasible than obligating wholesalers. However, 11 respondents argued for extending the obligation to all sellers, including wholesalers, concerned about enforceability against non-UK entities and potential disadvantages for UK manufacturers. There were also concerns about competing government demands, such as developing hydrogen-ready boilers and smart controls, which would be counted as fossil fuel boiler sales under the scheme.</w:t>
      </w:r>
    </w:p>
    <w:p w14:paraId="6528330F" w14:textId="77777777" w:rsidR="002B0B58" w:rsidRDefault="002B0B58" w:rsidP="00426E81">
      <w:pPr>
        <w:spacing w:after="120" w:line="276" w:lineRule="auto"/>
        <w:rPr>
          <w:rFonts w:ascii="Mark Pro" w:eastAsia="HGGothicE" w:hAnsi="Mark Pro" w:cs="Arial"/>
          <w:u w:val="single"/>
        </w:rPr>
      </w:pPr>
    </w:p>
    <w:p w14:paraId="564A13FE" w14:textId="77777777" w:rsidR="002B0B58" w:rsidRDefault="002B0B58" w:rsidP="00426E81">
      <w:pPr>
        <w:spacing w:after="120" w:line="276" w:lineRule="auto"/>
        <w:rPr>
          <w:rFonts w:ascii="Mark Pro" w:eastAsia="HGGothicE" w:hAnsi="Mark Pro" w:cs="Arial"/>
          <w:u w:val="single"/>
        </w:rPr>
      </w:pPr>
    </w:p>
    <w:p w14:paraId="3F8AF535" w14:textId="523BAC33" w:rsidR="006F1594" w:rsidRDefault="006F1594" w:rsidP="00426E81">
      <w:pPr>
        <w:spacing w:after="120" w:line="276" w:lineRule="auto"/>
        <w:rPr>
          <w:rFonts w:ascii="Mark Pro" w:eastAsia="HGGothicE" w:hAnsi="Mark Pro" w:cs="Arial"/>
          <w:u w:val="single"/>
        </w:rPr>
      </w:pPr>
      <w:r w:rsidRPr="006F1594">
        <w:rPr>
          <w:rFonts w:ascii="Mark Pro" w:eastAsia="HGGothicE" w:hAnsi="Mark Pro" w:cs="Arial"/>
          <w:u w:val="single"/>
        </w:rPr>
        <w:lastRenderedPageBreak/>
        <w:t xml:space="preserve">Government </w:t>
      </w:r>
      <w:r>
        <w:rPr>
          <w:rFonts w:ascii="Mark Pro" w:eastAsia="HGGothicE" w:hAnsi="Mark Pro" w:cs="Arial"/>
          <w:u w:val="single"/>
        </w:rPr>
        <w:t>response</w:t>
      </w:r>
    </w:p>
    <w:p w14:paraId="6F4F034E" w14:textId="77777777" w:rsidR="006F1594" w:rsidRPr="006F1594" w:rsidRDefault="006F1594" w:rsidP="00426E81">
      <w:pPr>
        <w:spacing w:after="120" w:line="276" w:lineRule="auto"/>
        <w:rPr>
          <w:rFonts w:ascii="Mark Pro" w:eastAsia="HGGothicE" w:hAnsi="Mark Pro" w:cs="Arial"/>
        </w:rPr>
      </w:pPr>
      <w:r w:rsidRPr="006F1594">
        <w:rPr>
          <w:rFonts w:ascii="Mark Pro" w:eastAsia="HGGothicE" w:hAnsi="Mark Pro" w:cs="Arial"/>
        </w:rPr>
        <w:t>The government intends to apply the scheme to all non-excluded manufacturers of relevant fossil fuel appliances.</w:t>
      </w:r>
    </w:p>
    <w:p w14:paraId="25881F15" w14:textId="2168B699" w:rsidR="006F1594" w:rsidRDefault="006F1594" w:rsidP="00426E81">
      <w:pPr>
        <w:spacing w:after="120" w:line="276" w:lineRule="auto"/>
        <w:rPr>
          <w:rFonts w:ascii="Mark Pro" w:eastAsia="HGGothicE" w:hAnsi="Mark Pro" w:cs="Arial"/>
        </w:rPr>
      </w:pPr>
      <w:r>
        <w:rPr>
          <w:rFonts w:ascii="Mark Pro" w:eastAsia="HGGothicE" w:hAnsi="Mark Pro" w:cs="Arial"/>
        </w:rPr>
        <w:t>It does</w:t>
      </w:r>
      <w:r w:rsidRPr="006F1594">
        <w:rPr>
          <w:rFonts w:ascii="Mark Pro" w:eastAsia="HGGothicE" w:hAnsi="Mark Pro" w:cs="Arial"/>
        </w:rPr>
        <w:t xml:space="preserve"> not consider it necessary or proportionate to expand the list of obligated parties to include any additional market actors. However, as stated in the consultation, </w:t>
      </w:r>
      <w:r w:rsidR="009E24B7">
        <w:rPr>
          <w:rFonts w:ascii="Mark Pro" w:eastAsia="HGGothicE" w:hAnsi="Mark Pro" w:cs="Arial"/>
        </w:rPr>
        <w:t>it</w:t>
      </w:r>
      <w:r w:rsidRPr="006F1594">
        <w:rPr>
          <w:rFonts w:ascii="Mark Pro" w:eastAsia="HGGothicE" w:hAnsi="Mark Pro" w:cs="Arial"/>
        </w:rPr>
        <w:t xml:space="preserve"> will </w:t>
      </w:r>
      <w:r w:rsidR="009E24B7">
        <w:rPr>
          <w:rFonts w:ascii="Mark Pro" w:eastAsia="HGGothicE" w:hAnsi="Mark Pro" w:cs="Arial"/>
        </w:rPr>
        <w:t>observe market conditions. It may</w:t>
      </w:r>
      <w:r w:rsidRPr="006F1594">
        <w:rPr>
          <w:rFonts w:ascii="Mark Pro" w:eastAsia="HGGothicE" w:hAnsi="Mark Pro" w:cs="Arial"/>
        </w:rPr>
        <w:t xml:space="preserve"> seek to expand the scope of obligated parties </w:t>
      </w:r>
      <w:r w:rsidR="009E24B7">
        <w:rPr>
          <w:rFonts w:ascii="Mark Pro" w:eastAsia="HGGothicE" w:hAnsi="Mark Pro" w:cs="Arial"/>
        </w:rPr>
        <w:t>further during future scheme years if required to protect the interests of UK companies and consumers</w:t>
      </w:r>
      <w:r w:rsidRPr="006F1594">
        <w:rPr>
          <w:rFonts w:ascii="Mark Pro" w:eastAsia="HGGothicE" w:hAnsi="Mark Pro" w:cs="Arial"/>
        </w:rPr>
        <w:t>.</w:t>
      </w:r>
    </w:p>
    <w:p w14:paraId="54B4D988" w14:textId="77777777" w:rsidR="006F1594" w:rsidRPr="006F1594" w:rsidRDefault="006F1594" w:rsidP="00426E81">
      <w:pPr>
        <w:spacing w:after="120" w:line="276" w:lineRule="auto"/>
        <w:rPr>
          <w:rFonts w:ascii="Mark Pro" w:eastAsia="HGGothicE" w:hAnsi="Mark Pro" w:cs="Arial"/>
        </w:rPr>
      </w:pPr>
    </w:p>
    <w:p w14:paraId="3E5BF992" w14:textId="57A026FC" w:rsidR="00A62C0C" w:rsidRPr="00A62C0C" w:rsidRDefault="00A62C0C" w:rsidP="00426E81">
      <w:pPr>
        <w:spacing w:after="120" w:line="276" w:lineRule="auto"/>
        <w:rPr>
          <w:rFonts w:ascii="Mark Pro" w:eastAsia="HGGothicE" w:hAnsi="Mark Pro" w:cs="Arial"/>
        </w:rPr>
      </w:pPr>
      <w:r w:rsidRPr="00A62C0C">
        <w:rPr>
          <w:rFonts w:ascii="Mark Pro" w:eastAsia="HGGothicE" w:hAnsi="Mark Pro" w:cs="Arial"/>
          <w:b/>
          <w:bCs/>
        </w:rPr>
        <w:t>QUESTION 4</w:t>
      </w:r>
      <w:r w:rsidRPr="00A62C0C">
        <w:rPr>
          <w:rFonts w:ascii="Mark Pro" w:eastAsia="HGGothicE" w:hAnsi="Mark Pro" w:cs="Arial"/>
        </w:rPr>
        <w:t xml:space="preserve">: Do you agree that related parties, business units, or brands within the same corporate group should be treated as one ‘appliance manufacturer’ entity </w:t>
      </w:r>
      <w:r w:rsidR="000E4811">
        <w:rPr>
          <w:rFonts w:ascii="Mark Pro" w:eastAsia="HGGothicE" w:hAnsi="Mark Pro" w:cs="Arial"/>
        </w:rPr>
        <w:t>to determine targets under the scheme and award</w:t>
      </w:r>
      <w:r w:rsidRPr="00A62C0C">
        <w:rPr>
          <w:rFonts w:ascii="Mark Pro" w:eastAsia="HGGothicE" w:hAnsi="Mark Pro" w:cs="Arial"/>
        </w:rPr>
        <w:t xml:space="preserve"> heat pump credits?</w:t>
      </w:r>
    </w:p>
    <w:p w14:paraId="705F795E" w14:textId="0F339F7F" w:rsidR="00A76339" w:rsidRPr="00A76339" w:rsidRDefault="00A76339" w:rsidP="00426E81">
      <w:pPr>
        <w:pStyle w:val="ListParagraph"/>
        <w:numPr>
          <w:ilvl w:val="0"/>
          <w:numId w:val="7"/>
        </w:numPr>
        <w:spacing w:after="120" w:line="276" w:lineRule="auto"/>
        <w:ind w:left="714" w:hanging="357"/>
        <w:contextualSpacing w:val="0"/>
        <w:rPr>
          <w:rFonts w:ascii="Mark Pro" w:eastAsia="HGGothicE" w:hAnsi="Mark Pro" w:cs="Arial"/>
        </w:rPr>
      </w:pPr>
      <w:r w:rsidRPr="00A76339">
        <w:rPr>
          <w:rFonts w:ascii="Mark Pro" w:eastAsia="HGGothicE" w:hAnsi="Mark Pro" w:cs="Arial"/>
          <w:b/>
          <w:bCs/>
        </w:rPr>
        <w:t xml:space="preserve">SNIPEF </w:t>
      </w:r>
      <w:r w:rsidR="00426E81">
        <w:rPr>
          <w:rFonts w:ascii="Mark Pro" w:eastAsia="HGGothicE" w:hAnsi="Mark Pro" w:cs="Arial"/>
          <w:b/>
          <w:bCs/>
        </w:rPr>
        <w:t>submission</w:t>
      </w:r>
      <w:r w:rsidRPr="00A76339">
        <w:rPr>
          <w:rFonts w:ascii="Mark Pro" w:eastAsia="HGGothicE" w:hAnsi="Mark Pro" w:cs="Arial"/>
        </w:rPr>
        <w:t>: SNIPEF expressed disagreement with treating related parties, business units, or brands within the same corporate group as one ‘appliance manufacturer’ entity. Their concern was centred around the potential for manipulation and abuse within a credit scheme.</w:t>
      </w:r>
    </w:p>
    <w:p w14:paraId="74F98A9D" w14:textId="61CF4FB0" w:rsidR="00A76339" w:rsidRPr="00A76339" w:rsidRDefault="00A76339" w:rsidP="00426E81">
      <w:pPr>
        <w:pStyle w:val="ListParagraph"/>
        <w:numPr>
          <w:ilvl w:val="0"/>
          <w:numId w:val="7"/>
        </w:numPr>
        <w:spacing w:after="120" w:line="276" w:lineRule="auto"/>
        <w:ind w:left="714" w:hanging="357"/>
        <w:contextualSpacing w:val="0"/>
        <w:rPr>
          <w:rFonts w:ascii="Mark Pro" w:eastAsia="HGGothicE" w:hAnsi="Mark Pro" w:cs="Arial"/>
        </w:rPr>
      </w:pPr>
      <w:r w:rsidRPr="00A76339">
        <w:rPr>
          <w:rFonts w:ascii="Mark Pro" w:eastAsia="HGGothicE" w:hAnsi="Mark Pro" w:cs="Arial"/>
          <w:b/>
          <w:bCs/>
        </w:rPr>
        <w:t xml:space="preserve">Consultation </w:t>
      </w:r>
      <w:r w:rsidR="00426E81">
        <w:rPr>
          <w:rFonts w:ascii="Mark Pro" w:eastAsia="HGGothicE" w:hAnsi="Mark Pro" w:cs="Arial"/>
          <w:b/>
          <w:bCs/>
        </w:rPr>
        <w:t>r</w:t>
      </w:r>
      <w:r w:rsidRPr="00A76339">
        <w:rPr>
          <w:rFonts w:ascii="Mark Pro" w:eastAsia="HGGothicE" w:hAnsi="Mark Pro" w:cs="Arial"/>
          <w:b/>
          <w:bCs/>
        </w:rPr>
        <w:t xml:space="preserve">eport </w:t>
      </w:r>
      <w:r w:rsidR="00426E81">
        <w:rPr>
          <w:rFonts w:ascii="Mark Pro" w:eastAsia="HGGothicE" w:hAnsi="Mark Pro" w:cs="Arial"/>
          <w:b/>
          <w:bCs/>
        </w:rPr>
        <w:t>s</w:t>
      </w:r>
      <w:r w:rsidRPr="00A76339">
        <w:rPr>
          <w:rFonts w:ascii="Mark Pro" w:eastAsia="HGGothicE" w:hAnsi="Mark Pro" w:cs="Arial"/>
          <w:b/>
          <w:bCs/>
        </w:rPr>
        <w:t>ummary</w:t>
      </w:r>
      <w:r w:rsidRPr="00A76339">
        <w:rPr>
          <w:rFonts w:ascii="Mark Pro" w:eastAsia="HGGothicE" w:hAnsi="Mark Pro" w:cs="Arial"/>
        </w:rPr>
        <w:t xml:space="preserve">: </w:t>
      </w:r>
      <w:r w:rsidR="000E4811">
        <w:rPr>
          <w:rFonts w:ascii="Mark Pro" w:eastAsia="HGGothicE" w:hAnsi="Mark Pro" w:cs="Arial"/>
        </w:rPr>
        <w:t>Most</w:t>
      </w:r>
      <w:r w:rsidRPr="00A76339">
        <w:rPr>
          <w:rFonts w:ascii="Mark Pro" w:eastAsia="HGGothicE" w:hAnsi="Mark Pro" w:cs="Arial"/>
        </w:rPr>
        <w:t xml:space="preserve"> respondents (50 out of 55) agreed with the proposal to treat related parties within a corporate group as a single entity. They believed this approach would simplify scheme administration and reduce the risk of restructuring to game the obligation. A few respondents, including boiler manufacturers and trade representative groups, disagreed with broader aspects of the scheme, proposing that wholesalers and merchants should be the obligated parties instead of manufacturers.</w:t>
      </w:r>
    </w:p>
    <w:p w14:paraId="69741AAA" w14:textId="3BFD408B" w:rsidR="00A76339" w:rsidRPr="00426E81" w:rsidRDefault="00A76339" w:rsidP="00426E81">
      <w:pPr>
        <w:pStyle w:val="ListParagraph"/>
        <w:numPr>
          <w:ilvl w:val="0"/>
          <w:numId w:val="7"/>
        </w:numPr>
        <w:spacing w:after="120" w:line="276" w:lineRule="auto"/>
        <w:ind w:left="714" w:hanging="357"/>
        <w:contextualSpacing w:val="0"/>
        <w:rPr>
          <w:rFonts w:ascii="Mark Pro" w:eastAsia="HGGothicE" w:hAnsi="Mark Pro" w:cs="Arial"/>
        </w:rPr>
      </w:pPr>
      <w:r w:rsidRPr="00A76339">
        <w:rPr>
          <w:rFonts w:ascii="Mark Pro" w:eastAsia="HGGothicE" w:hAnsi="Mark Pro" w:cs="Arial"/>
          <w:b/>
          <w:bCs/>
        </w:rPr>
        <w:t xml:space="preserve">Government's </w:t>
      </w:r>
      <w:r w:rsidR="00426E81">
        <w:rPr>
          <w:rFonts w:ascii="Mark Pro" w:eastAsia="HGGothicE" w:hAnsi="Mark Pro" w:cs="Arial"/>
          <w:b/>
          <w:bCs/>
        </w:rPr>
        <w:t>r</w:t>
      </w:r>
      <w:r w:rsidRPr="00A76339">
        <w:rPr>
          <w:rFonts w:ascii="Mark Pro" w:eastAsia="HGGothicE" w:hAnsi="Mark Pro" w:cs="Arial"/>
          <w:b/>
          <w:bCs/>
        </w:rPr>
        <w:t>esponse</w:t>
      </w:r>
      <w:r w:rsidRPr="00A76339">
        <w:rPr>
          <w:rFonts w:ascii="Mark Pro" w:eastAsia="HGGothicE" w:hAnsi="Mark Pro" w:cs="Arial"/>
        </w:rPr>
        <w:t xml:space="preserve">: The government agreed with </w:t>
      </w:r>
      <w:r>
        <w:rPr>
          <w:rFonts w:ascii="Mark Pro" w:eastAsia="HGGothicE" w:hAnsi="Mark Pro" w:cs="Arial"/>
        </w:rPr>
        <w:t>most</w:t>
      </w:r>
      <w:r w:rsidRPr="00A76339">
        <w:rPr>
          <w:rFonts w:ascii="Mark Pro" w:eastAsia="HGGothicE" w:hAnsi="Mark Pro" w:cs="Arial"/>
        </w:rPr>
        <w:t xml:space="preserve"> respondents that related parties within a corporate group should be treated as a single o</w:t>
      </w:r>
      <w:r w:rsidRPr="00426E81">
        <w:rPr>
          <w:rFonts w:ascii="Mark Pro" w:eastAsia="HGGothicE" w:hAnsi="Mark Pro" w:cs="Arial"/>
        </w:rPr>
        <w:t>bligated party. They indicated that this would involve joint and several liabilities across the group for scheme compliance, with a single Responsible Undertaking within the group ensuring compliance.</w:t>
      </w:r>
    </w:p>
    <w:p w14:paraId="159643E6" w14:textId="226AE60A" w:rsidR="00A76339" w:rsidRDefault="00924E9E" w:rsidP="00426E81">
      <w:pPr>
        <w:spacing w:after="120" w:line="276" w:lineRule="auto"/>
        <w:rPr>
          <w:rFonts w:ascii="Mark Pro" w:eastAsia="HGGothicE" w:hAnsi="Mark Pro" w:cs="Arial"/>
          <w:b/>
          <w:bCs/>
        </w:rPr>
      </w:pPr>
      <w:r w:rsidRPr="00924E9E">
        <w:rPr>
          <w:rFonts w:ascii="Mark Pro" w:eastAsia="HGGothicE" w:hAnsi="Mark Pro" w:cs="Arial"/>
          <w:b/>
          <w:bCs/>
        </w:rPr>
        <w:t>Disagreement</w:t>
      </w:r>
      <w:r w:rsidR="00426E81">
        <w:rPr>
          <w:rFonts w:ascii="Mark Pro" w:eastAsia="HGGothicE" w:hAnsi="Mark Pro" w:cs="Arial"/>
          <w:b/>
          <w:bCs/>
        </w:rPr>
        <w:t xml:space="preserve"> with SNIPEF’s submission</w:t>
      </w:r>
    </w:p>
    <w:p w14:paraId="452C1E74" w14:textId="60E88A00" w:rsidR="00426E81" w:rsidRDefault="00426E81" w:rsidP="00426E81">
      <w:pPr>
        <w:spacing w:after="120" w:line="276" w:lineRule="auto"/>
        <w:rPr>
          <w:rFonts w:ascii="Mark Pro" w:eastAsia="HGGothicE" w:hAnsi="Mark Pro" w:cs="Arial"/>
          <w:b/>
          <w:bCs/>
        </w:rPr>
      </w:pPr>
    </w:p>
    <w:p w14:paraId="540310E5" w14:textId="14ABF471" w:rsidR="00426E81" w:rsidRDefault="00426E81" w:rsidP="00426E81">
      <w:pPr>
        <w:spacing w:after="120" w:line="276" w:lineRule="auto"/>
        <w:rPr>
          <w:rFonts w:ascii="Mark Pro" w:eastAsia="HGGothicE" w:hAnsi="Mark Pro" w:cs="Arial"/>
          <w:b/>
          <w:bCs/>
        </w:rPr>
      </w:pPr>
    </w:p>
    <w:p w14:paraId="23CD3EF6" w14:textId="13F527C8" w:rsidR="00426E81" w:rsidRDefault="00426E81" w:rsidP="00426E81">
      <w:pPr>
        <w:spacing w:after="120" w:line="276" w:lineRule="auto"/>
        <w:rPr>
          <w:rFonts w:ascii="Mark Pro" w:eastAsia="HGGothicE" w:hAnsi="Mark Pro" w:cs="Arial"/>
          <w:b/>
          <w:bCs/>
        </w:rPr>
      </w:pPr>
    </w:p>
    <w:p w14:paraId="3F03D0EA" w14:textId="10726FC3" w:rsidR="00426E81" w:rsidRDefault="00426E81" w:rsidP="00426E81">
      <w:pPr>
        <w:spacing w:after="120" w:line="276" w:lineRule="auto"/>
        <w:rPr>
          <w:rFonts w:ascii="Mark Pro" w:eastAsia="HGGothicE" w:hAnsi="Mark Pro" w:cs="Arial"/>
          <w:b/>
          <w:bCs/>
        </w:rPr>
      </w:pPr>
    </w:p>
    <w:p w14:paraId="11363BA6" w14:textId="689AFE6F" w:rsidR="00426E81" w:rsidRDefault="00426E81" w:rsidP="00426E81">
      <w:pPr>
        <w:spacing w:after="120" w:line="276" w:lineRule="auto"/>
        <w:rPr>
          <w:rFonts w:ascii="Mark Pro" w:eastAsia="HGGothicE" w:hAnsi="Mark Pro" w:cs="Arial"/>
          <w:b/>
          <w:bCs/>
        </w:rPr>
      </w:pPr>
    </w:p>
    <w:p w14:paraId="1D1FCBD5" w14:textId="67DB663F" w:rsidR="00426E81" w:rsidRDefault="00426E81" w:rsidP="00426E81">
      <w:pPr>
        <w:spacing w:after="120" w:line="276" w:lineRule="auto"/>
        <w:rPr>
          <w:rFonts w:ascii="Mark Pro" w:eastAsia="HGGothicE" w:hAnsi="Mark Pro" w:cs="Arial"/>
          <w:b/>
          <w:bCs/>
        </w:rPr>
      </w:pPr>
    </w:p>
    <w:p w14:paraId="66EE5DBE" w14:textId="77777777" w:rsidR="00426E81" w:rsidRDefault="00426E81" w:rsidP="00426E81">
      <w:pPr>
        <w:spacing w:after="120" w:line="276" w:lineRule="auto"/>
        <w:rPr>
          <w:rFonts w:ascii="Mark Pro" w:eastAsia="HGGothicE" w:hAnsi="Mark Pro" w:cs="Arial"/>
          <w:b/>
          <w:bCs/>
        </w:rPr>
      </w:pPr>
    </w:p>
    <w:p w14:paraId="17E3BE58" w14:textId="77777777" w:rsidR="000E4811" w:rsidRDefault="000E4811" w:rsidP="00426E81">
      <w:pPr>
        <w:spacing w:after="120" w:line="276" w:lineRule="auto"/>
        <w:rPr>
          <w:rFonts w:ascii="Mark Pro" w:eastAsia="HGGothicE" w:hAnsi="Mark Pro" w:cs="Arial"/>
          <w:b/>
          <w:bCs/>
        </w:rPr>
      </w:pPr>
    </w:p>
    <w:p w14:paraId="72A3C834" w14:textId="77777777" w:rsidR="000E4811" w:rsidRDefault="000E4811" w:rsidP="00426E81">
      <w:pPr>
        <w:spacing w:after="120" w:line="276" w:lineRule="auto"/>
        <w:rPr>
          <w:rFonts w:ascii="Mark Pro" w:eastAsia="HGGothicE" w:hAnsi="Mark Pro" w:cs="Arial"/>
          <w:b/>
          <w:bCs/>
        </w:rPr>
      </w:pPr>
    </w:p>
    <w:p w14:paraId="3BBDE62A" w14:textId="1709EBB2" w:rsidR="00BC3D9E" w:rsidRDefault="00BC3D9E" w:rsidP="00426E81">
      <w:pPr>
        <w:spacing w:after="120" w:line="276" w:lineRule="auto"/>
        <w:rPr>
          <w:rFonts w:ascii="Mark Pro" w:eastAsia="HGGothicE" w:hAnsi="Mark Pro" w:cs="Arial"/>
        </w:rPr>
      </w:pPr>
      <w:r w:rsidRPr="00BC3D9E">
        <w:rPr>
          <w:rFonts w:ascii="Mark Pro" w:eastAsia="HGGothicE" w:hAnsi="Mark Pro" w:cs="Arial"/>
          <w:b/>
          <w:bCs/>
        </w:rPr>
        <w:t>QUESTION 5:</w:t>
      </w:r>
      <w:r>
        <w:rPr>
          <w:rFonts w:ascii="Mark Pro" w:eastAsia="HGGothicE" w:hAnsi="Mark Pro" w:cs="Arial"/>
        </w:rPr>
        <w:t xml:space="preserve"> </w:t>
      </w:r>
      <w:r w:rsidRPr="00BC3D9E">
        <w:rPr>
          <w:rFonts w:ascii="Mark Pro" w:eastAsia="HGGothicE" w:hAnsi="Mark Pro" w:cs="Arial"/>
        </w:rPr>
        <w:t>Do you agree with the proposed minimum thresholds for the obligation and treatment of small companies?</w:t>
      </w:r>
    </w:p>
    <w:p w14:paraId="27B96001" w14:textId="77777777" w:rsidR="00BC3D9E" w:rsidRPr="00BC3D9E" w:rsidRDefault="00BC3D9E"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0DA4D21F" w14:textId="77777777" w:rsidR="00BC3D9E" w:rsidRPr="00BC3D9E" w:rsidRDefault="00BC3D9E"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07FEA640" w14:textId="77777777" w:rsidR="00BC3D9E" w:rsidRPr="00BC3D9E" w:rsidRDefault="00BC3D9E" w:rsidP="00426E81">
      <w:pPr>
        <w:spacing w:after="120" w:line="276" w:lineRule="auto"/>
        <w:rPr>
          <w:rFonts w:ascii="Mark Pro" w:eastAsia="HGGothicE" w:hAnsi="Mark Pro" w:cs="Arial"/>
        </w:rPr>
      </w:pPr>
      <w:r w:rsidRPr="00BC3D9E">
        <w:rPr>
          <w:rFonts w:ascii="Mark Pro" w:eastAsia="HGGothicE" w:hAnsi="Mark Pro" w:cs="Arial"/>
        </w:rPr>
        <w:t>Over half of respondents (35) agreed with the proposal. There was general support for the obligation being placed on larger companies that fulfilled the threshold. Some respondents commented that they would welcome incentives for smaller businesses to work towards cleaner heating methods in future.</w:t>
      </w:r>
    </w:p>
    <w:p w14:paraId="17B2D172" w14:textId="7C045728" w:rsidR="00BC3D9E" w:rsidRDefault="00BC3D9E" w:rsidP="00426E81">
      <w:pPr>
        <w:spacing w:after="120" w:line="276" w:lineRule="auto"/>
        <w:rPr>
          <w:rFonts w:ascii="Mark Pro" w:eastAsia="HGGothicE" w:hAnsi="Mark Pro" w:cs="Arial"/>
        </w:rPr>
      </w:pPr>
      <w:r w:rsidRPr="00BC3D9E">
        <w:rPr>
          <w:rFonts w:ascii="Mark Pro" w:eastAsia="HGGothicE" w:hAnsi="Mark Pro" w:cs="Arial"/>
        </w:rPr>
        <w:t xml:space="preserve">Those who disagreed with the proposed threshold were concerned about the possibility </w:t>
      </w:r>
      <w:r>
        <w:rPr>
          <w:rFonts w:ascii="Mark Pro" w:eastAsia="HGGothicE" w:hAnsi="Mark Pro" w:cs="Arial"/>
        </w:rPr>
        <w:t>of</w:t>
      </w:r>
      <w:r w:rsidRPr="00BC3D9E">
        <w:rPr>
          <w:rFonts w:ascii="Mark Pro" w:eastAsia="HGGothicE" w:hAnsi="Mark Pro" w:cs="Arial"/>
        </w:rPr>
        <w:t xml:space="preserve"> gaming and outlined the need for robust measures to prevent this. Some respondents were also concerned that there was scope for businesses with smaller UK market </w:t>
      </w:r>
      <w:proofErr w:type="gramStart"/>
      <w:r w:rsidRPr="00BC3D9E">
        <w:rPr>
          <w:rFonts w:ascii="Mark Pro" w:eastAsia="HGGothicE" w:hAnsi="Mark Pro" w:cs="Arial"/>
        </w:rPr>
        <w:t>shares</w:t>
      </w:r>
      <w:proofErr w:type="gramEnd"/>
      <w:r>
        <w:rPr>
          <w:rFonts w:ascii="Mark Pro" w:eastAsia="HGGothicE" w:hAnsi="Mark Pro" w:cs="Arial"/>
        </w:rPr>
        <w:t xml:space="preserve"> but which are part of a larger international corporate group to be below the threshold despite having the </w:t>
      </w:r>
      <w:r w:rsidRPr="00BC3D9E">
        <w:rPr>
          <w:rFonts w:ascii="Mark Pro" w:eastAsia="HGGothicE" w:hAnsi="Mark Pro" w:cs="Arial"/>
        </w:rPr>
        <w:t>capacity to be obligated by the scheme. These respondents</w:t>
      </w:r>
      <w:r>
        <w:rPr>
          <w:rFonts w:ascii="Mark Pro" w:eastAsia="HGGothicE" w:hAnsi="Mark Pro" w:cs="Arial"/>
        </w:rPr>
        <w:t>, therefore,</w:t>
      </w:r>
      <w:r w:rsidRPr="00BC3D9E">
        <w:rPr>
          <w:rFonts w:ascii="Mark Pro" w:eastAsia="HGGothicE" w:hAnsi="Mark Pro" w:cs="Arial"/>
        </w:rPr>
        <w:t xml:space="preserve"> asked for controls for overseas imports from larger corporations. Some also argued that no manufacturer selling in-scope appliances in the UK should be exempt, based on the principle of “polluter pays”.</w:t>
      </w:r>
    </w:p>
    <w:p w14:paraId="6EE26351" w14:textId="55C93D2B" w:rsidR="00426E81" w:rsidRPr="00426E81" w:rsidRDefault="00426E81" w:rsidP="00426E81">
      <w:pPr>
        <w:spacing w:after="120" w:line="276" w:lineRule="auto"/>
        <w:rPr>
          <w:rFonts w:ascii="Mark Pro" w:eastAsia="HGGothicE" w:hAnsi="Mark Pro" w:cs="Arial"/>
          <w:u w:val="single"/>
        </w:rPr>
      </w:pPr>
      <w:r w:rsidRPr="00426E81">
        <w:rPr>
          <w:rFonts w:ascii="Mark Pro" w:eastAsia="HGGothicE" w:hAnsi="Mark Pro" w:cs="Arial"/>
          <w:u w:val="single"/>
        </w:rPr>
        <w:t>Government response</w:t>
      </w:r>
    </w:p>
    <w:p w14:paraId="4745CF53" w14:textId="77777777" w:rsidR="00426E81" w:rsidRDefault="00426E81" w:rsidP="00426E81">
      <w:pPr>
        <w:spacing w:after="120" w:line="276" w:lineRule="auto"/>
        <w:rPr>
          <w:rFonts w:ascii="Mark Pro" w:eastAsia="HGGothicE" w:hAnsi="Mark Pro" w:cs="Arial"/>
        </w:rPr>
      </w:pPr>
      <w:r>
        <w:rPr>
          <w:rFonts w:ascii="Mark Pro" w:eastAsia="HGGothicE" w:hAnsi="Mark Pro" w:cs="Arial"/>
        </w:rPr>
        <w:t>T</w:t>
      </w:r>
      <w:r w:rsidRPr="00426E81">
        <w:rPr>
          <w:rFonts w:ascii="Mark Pro" w:eastAsia="HGGothicE" w:hAnsi="Mark Pro" w:cs="Arial"/>
        </w:rPr>
        <w:t xml:space="preserve">he government will maintain the proposed minimum threshold of 20,000 gas boilers and 1,000 oil boilers for obligatory participation. This decision aims to ensure market leaders initiate investment in heat pump technology. While encouraging smaller businesses and those below the threshold to reduce greenhouse gas emissions, the government also plans to mitigate the risk of threshold-related gaming. </w:t>
      </w:r>
    </w:p>
    <w:p w14:paraId="3D49CFEE" w14:textId="6E50A931" w:rsidR="00BC3D9E" w:rsidRPr="00BC3D9E" w:rsidRDefault="00426E81" w:rsidP="00426E81">
      <w:pPr>
        <w:spacing w:after="120" w:line="276" w:lineRule="auto"/>
        <w:rPr>
          <w:rFonts w:ascii="Mark Pro" w:eastAsia="HGGothicE" w:hAnsi="Mark Pro" w:cs="Arial"/>
        </w:rPr>
      </w:pPr>
      <w:r w:rsidRPr="00426E81">
        <w:rPr>
          <w:rFonts w:ascii="Mark Pro" w:eastAsia="HGGothicE" w:hAnsi="Mark Pro" w:cs="Arial"/>
        </w:rPr>
        <w:t>Near-threshold manufacturers selling 15,000-20,000 gas boilers or 750-1,000 oil boilers in the UK must register for the scheme and confirm they are below the main obligation threshold.</w:t>
      </w:r>
      <w:r>
        <w:rPr>
          <w:rFonts w:ascii="Mark Pro" w:eastAsia="HGGothicE" w:hAnsi="Mark Pro" w:cs="Arial"/>
        </w:rPr>
        <w:br w:type="page"/>
      </w:r>
    </w:p>
    <w:p w14:paraId="7DB0C342" w14:textId="2BA740FC" w:rsidR="00A62C0C" w:rsidRPr="00A62C0C" w:rsidRDefault="00A62C0C" w:rsidP="00426E81">
      <w:pPr>
        <w:spacing w:after="120" w:line="276" w:lineRule="auto"/>
        <w:rPr>
          <w:rFonts w:ascii="Mark Pro" w:eastAsia="HGGothicE" w:hAnsi="Mark Pro" w:cs="Arial"/>
        </w:rPr>
      </w:pPr>
      <w:r w:rsidRPr="00DA5651">
        <w:rPr>
          <w:rFonts w:ascii="Mark Pro" w:eastAsia="HGGothicE" w:hAnsi="Mark Pro" w:cs="Arial"/>
          <w:b/>
          <w:bCs/>
        </w:rPr>
        <w:lastRenderedPageBreak/>
        <w:t>QUESTION 6</w:t>
      </w:r>
      <w:r w:rsidRPr="00A62C0C">
        <w:rPr>
          <w:rFonts w:ascii="Mark Pro" w:eastAsia="HGGothicE" w:hAnsi="Mark Pro" w:cs="Arial"/>
        </w:rPr>
        <w:t xml:space="preserve">: Do you agree with the proposal to apply the obligation to all above-threshold manufacturers of fossil fuel boilers sold on the UK market regardless of those manufacturers’ location, instead of obligating only UK-based companies responsible for first placing appliances on the UK </w:t>
      </w:r>
      <w:r w:rsidR="00DA5651" w:rsidRPr="00A62C0C">
        <w:rPr>
          <w:rFonts w:ascii="Mark Pro" w:eastAsia="HGGothicE" w:hAnsi="Mark Pro" w:cs="Arial"/>
        </w:rPr>
        <w:t>market</w:t>
      </w:r>
      <w:r w:rsidR="000E4811">
        <w:rPr>
          <w:rFonts w:ascii="Mark Pro" w:eastAsia="HGGothicE" w:hAnsi="Mark Pro" w:cs="Arial"/>
        </w:rPr>
        <w:t>?</w:t>
      </w:r>
    </w:p>
    <w:p w14:paraId="7495927D" w14:textId="00B70CA2" w:rsidR="00A76339" w:rsidRPr="00A76339" w:rsidRDefault="00A76339" w:rsidP="00426E81">
      <w:pPr>
        <w:pStyle w:val="ListParagraph"/>
        <w:numPr>
          <w:ilvl w:val="0"/>
          <w:numId w:val="9"/>
        </w:numPr>
        <w:spacing w:after="120" w:line="276" w:lineRule="auto"/>
        <w:ind w:left="714" w:hanging="357"/>
        <w:contextualSpacing w:val="0"/>
        <w:rPr>
          <w:rFonts w:ascii="Mark Pro" w:eastAsia="HGGothicE" w:hAnsi="Mark Pro" w:cs="Arial"/>
        </w:rPr>
      </w:pPr>
      <w:r w:rsidRPr="00A76339">
        <w:rPr>
          <w:rFonts w:ascii="Mark Pro" w:eastAsia="HGGothicE" w:hAnsi="Mark Pro" w:cs="Arial"/>
          <w:b/>
          <w:bCs/>
        </w:rPr>
        <w:t xml:space="preserve">SNIPEF </w:t>
      </w:r>
      <w:r w:rsidR="00426E81">
        <w:rPr>
          <w:rFonts w:ascii="Mark Pro" w:eastAsia="HGGothicE" w:hAnsi="Mark Pro" w:cs="Arial"/>
          <w:b/>
          <w:bCs/>
        </w:rPr>
        <w:t>submission</w:t>
      </w:r>
      <w:r w:rsidRPr="00A76339">
        <w:rPr>
          <w:rFonts w:ascii="Mark Pro" w:eastAsia="HGGothicE" w:hAnsi="Mark Pro" w:cs="Arial"/>
        </w:rPr>
        <w:t>: SNIPEF understood the logic behind applying the obligation to all manufacturers selling fossil boilers in the UK market, regardless of location. However, they raised concerns about the administrative challenges and costs, especially in enforcing UK law on manufacturers outside UK jurisdiction.</w:t>
      </w:r>
    </w:p>
    <w:p w14:paraId="0B99388C" w14:textId="7E926194" w:rsidR="00A76339" w:rsidRPr="00A76339" w:rsidRDefault="00A76339" w:rsidP="00426E81">
      <w:pPr>
        <w:pStyle w:val="ListParagraph"/>
        <w:numPr>
          <w:ilvl w:val="0"/>
          <w:numId w:val="9"/>
        </w:numPr>
        <w:spacing w:after="120" w:line="276" w:lineRule="auto"/>
        <w:ind w:left="714" w:hanging="357"/>
        <w:contextualSpacing w:val="0"/>
        <w:rPr>
          <w:rFonts w:ascii="Mark Pro" w:eastAsia="HGGothicE" w:hAnsi="Mark Pro" w:cs="Arial"/>
        </w:rPr>
      </w:pPr>
      <w:r w:rsidRPr="00A76339">
        <w:rPr>
          <w:rFonts w:ascii="Mark Pro" w:eastAsia="HGGothicE" w:hAnsi="Mark Pro" w:cs="Arial"/>
          <w:b/>
          <w:bCs/>
        </w:rPr>
        <w:t xml:space="preserve">Consultation </w:t>
      </w:r>
      <w:r w:rsidR="00426E81">
        <w:rPr>
          <w:rFonts w:ascii="Mark Pro" w:eastAsia="HGGothicE" w:hAnsi="Mark Pro" w:cs="Arial"/>
          <w:b/>
          <w:bCs/>
        </w:rPr>
        <w:t>r</w:t>
      </w:r>
      <w:r w:rsidRPr="00A76339">
        <w:rPr>
          <w:rFonts w:ascii="Mark Pro" w:eastAsia="HGGothicE" w:hAnsi="Mark Pro" w:cs="Arial"/>
          <w:b/>
          <w:bCs/>
        </w:rPr>
        <w:t xml:space="preserve">eport </w:t>
      </w:r>
      <w:r w:rsidR="00426E81">
        <w:rPr>
          <w:rFonts w:ascii="Mark Pro" w:eastAsia="HGGothicE" w:hAnsi="Mark Pro" w:cs="Arial"/>
          <w:b/>
          <w:bCs/>
        </w:rPr>
        <w:t>s</w:t>
      </w:r>
      <w:r w:rsidRPr="00A76339">
        <w:rPr>
          <w:rFonts w:ascii="Mark Pro" w:eastAsia="HGGothicE" w:hAnsi="Mark Pro" w:cs="Arial"/>
          <w:b/>
          <w:bCs/>
        </w:rPr>
        <w:t>ummary</w:t>
      </w:r>
      <w:r w:rsidRPr="00A76339">
        <w:rPr>
          <w:rFonts w:ascii="Mark Pro" w:eastAsia="HGGothicE" w:hAnsi="Mark Pro" w:cs="Arial"/>
        </w:rPr>
        <w:t xml:space="preserve">: </w:t>
      </w:r>
      <w:r w:rsidR="00426E81" w:rsidRPr="00A76339">
        <w:rPr>
          <w:rFonts w:ascii="Mark Pro" w:eastAsia="HGGothicE" w:hAnsi="Mark Pro" w:cs="Arial"/>
        </w:rPr>
        <w:t>Most</w:t>
      </w:r>
      <w:r w:rsidRPr="00A76339">
        <w:rPr>
          <w:rFonts w:ascii="Mark Pro" w:eastAsia="HGGothicE" w:hAnsi="Mark Pro" w:cs="Arial"/>
        </w:rPr>
        <w:t xml:space="preserve"> respondents (46 out of 58) agreed with the proposal to apply the obligation equally to both UK and non-UK manufacturers. They supported this to ensure fairness and avoid a disproportionate impact on UK businesses. Concerns were raised about the enforceability of the policy against foreign companies.</w:t>
      </w:r>
    </w:p>
    <w:p w14:paraId="788F7A3F" w14:textId="4C212B92" w:rsidR="00A76339" w:rsidRPr="00A76339" w:rsidRDefault="00A76339" w:rsidP="00426E81">
      <w:pPr>
        <w:pStyle w:val="ListParagraph"/>
        <w:numPr>
          <w:ilvl w:val="0"/>
          <w:numId w:val="9"/>
        </w:numPr>
        <w:spacing w:after="120" w:line="276" w:lineRule="auto"/>
        <w:ind w:left="714" w:hanging="357"/>
        <w:contextualSpacing w:val="0"/>
        <w:rPr>
          <w:rFonts w:ascii="Mark Pro" w:eastAsia="HGGothicE" w:hAnsi="Mark Pro" w:cs="Arial"/>
        </w:rPr>
      </w:pPr>
      <w:r w:rsidRPr="00A76339">
        <w:rPr>
          <w:rFonts w:ascii="Mark Pro" w:eastAsia="HGGothicE" w:hAnsi="Mark Pro" w:cs="Arial"/>
          <w:b/>
          <w:bCs/>
        </w:rPr>
        <w:t>Government's Response</w:t>
      </w:r>
      <w:r w:rsidRPr="00A76339">
        <w:rPr>
          <w:rFonts w:ascii="Mark Pro" w:eastAsia="HGGothicE" w:hAnsi="Mark Pro" w:cs="Arial"/>
        </w:rPr>
        <w:t xml:space="preserve">: The government decided to apply the scheme to manufacturers regardless of location, aligning with the majority's view. They acknowledged the concerns about enforceability against non-UK companies but cited existing precedents of enforcing similar rules in other sectors. The government also proposed </w:t>
      </w:r>
      <w:r w:rsidR="00426E81">
        <w:rPr>
          <w:rFonts w:ascii="Mark Pro" w:eastAsia="HGGothicE" w:hAnsi="Mark Pro" w:cs="Arial"/>
        </w:rPr>
        <w:t xml:space="preserve">appointing a UK-based entity within the corporate group </w:t>
      </w:r>
      <w:r w:rsidRPr="00A76339">
        <w:rPr>
          <w:rFonts w:ascii="Mark Pro" w:eastAsia="HGGothicE" w:hAnsi="Mark Pro" w:cs="Arial"/>
        </w:rPr>
        <w:t>as the Responsible Undertaking to simplify enforcement and reduce administrative complexity.</w:t>
      </w:r>
    </w:p>
    <w:p w14:paraId="618288DD" w14:textId="1A419CD3" w:rsidR="00A76339" w:rsidRPr="00A76339" w:rsidRDefault="00924E9E" w:rsidP="00426E81">
      <w:pPr>
        <w:spacing w:after="120" w:line="276" w:lineRule="auto"/>
        <w:rPr>
          <w:rFonts w:ascii="Mark Pro" w:eastAsia="HGGothicE" w:hAnsi="Mark Pro" w:cs="Arial"/>
        </w:rPr>
      </w:pPr>
      <w:r w:rsidRPr="00924E9E">
        <w:rPr>
          <w:rFonts w:ascii="Mark Pro" w:eastAsia="HGGothicE" w:hAnsi="Mark Pro" w:cs="Arial"/>
          <w:b/>
          <w:bCs/>
        </w:rPr>
        <w:t>Partial agreement</w:t>
      </w:r>
      <w:r w:rsidR="00426E81">
        <w:rPr>
          <w:rFonts w:ascii="Mark Pro" w:eastAsia="HGGothicE" w:hAnsi="Mark Pro" w:cs="Arial"/>
          <w:b/>
          <w:bCs/>
        </w:rPr>
        <w:t xml:space="preserve"> with SNIPEF submission</w:t>
      </w:r>
    </w:p>
    <w:p w14:paraId="5F29316D" w14:textId="77777777" w:rsidR="00426E81" w:rsidRDefault="00426E81" w:rsidP="00426E81">
      <w:pPr>
        <w:spacing w:after="120" w:line="276" w:lineRule="auto"/>
        <w:rPr>
          <w:rFonts w:ascii="Mark Pro" w:eastAsia="HGGothicE" w:hAnsi="Mark Pro" w:cs="Arial"/>
          <w:b/>
          <w:bCs/>
        </w:rPr>
      </w:pPr>
    </w:p>
    <w:p w14:paraId="3E3BA07E" w14:textId="13632FB0" w:rsidR="00BC3D9E" w:rsidRPr="00457026" w:rsidRDefault="00BC3D9E" w:rsidP="00426E81">
      <w:pPr>
        <w:spacing w:after="120" w:line="276" w:lineRule="auto"/>
        <w:rPr>
          <w:rFonts w:ascii="Mark Pro" w:eastAsia="HGGothicE" w:hAnsi="Mark Pro" w:cs="Arial"/>
        </w:rPr>
      </w:pPr>
      <w:r w:rsidRPr="002E661B">
        <w:rPr>
          <w:rFonts w:ascii="Mark Pro" w:eastAsia="HGGothicE" w:hAnsi="Mark Pro" w:cs="Arial"/>
          <w:b/>
          <w:bCs/>
        </w:rPr>
        <w:t xml:space="preserve">QUESTION 7: </w:t>
      </w:r>
      <w:r w:rsidR="00457026" w:rsidRPr="00457026">
        <w:rPr>
          <w:rFonts w:ascii="Mark Pro" w:eastAsia="HGGothicE" w:hAnsi="Mark Pro" w:cs="Arial"/>
        </w:rPr>
        <w:t>Do you have views on the proposal to ask manufacturers to publish an annual Heat Pump Supply Chain Plan, and/or on what content should be suggested for such a Plan in scheme guidance?</w:t>
      </w:r>
    </w:p>
    <w:p w14:paraId="3D38859C" w14:textId="77777777" w:rsidR="00457026" w:rsidRPr="00BC3D9E" w:rsidRDefault="00457026"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3C6A90E8" w14:textId="77777777" w:rsidR="00457026" w:rsidRPr="00BC3D9E" w:rsidRDefault="00457026"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5DF5ECDD" w14:textId="5E2DD97A" w:rsidR="00457026" w:rsidRDefault="00457026" w:rsidP="00426E81">
      <w:pPr>
        <w:spacing w:after="120" w:line="276" w:lineRule="auto"/>
        <w:rPr>
          <w:rFonts w:ascii="Mark Pro" w:eastAsia="HGGothicE" w:hAnsi="Mark Pro" w:cs="Arial"/>
        </w:rPr>
      </w:pPr>
      <w:r w:rsidRPr="00457026">
        <w:rPr>
          <w:rFonts w:ascii="Mark Pro" w:eastAsia="HGGothicE" w:hAnsi="Mark Pro" w:cs="Arial"/>
        </w:rPr>
        <w:t>Of 55 responses, 26 opposed and 12 supported the proposal for manufacturers to publish an annual Heat Pump Supply Chain Plan. Concerns included administrative burden, effectiveness, and disclosing sensitive information. Supporters cited benefits like market visibility, transparency, and supporting installer upskilling.</w:t>
      </w:r>
    </w:p>
    <w:p w14:paraId="3B846C25" w14:textId="5D75DF4E" w:rsidR="00457026" w:rsidRPr="00457026" w:rsidRDefault="00457026" w:rsidP="00426E81">
      <w:pPr>
        <w:spacing w:after="120" w:line="276" w:lineRule="auto"/>
        <w:rPr>
          <w:rFonts w:ascii="Mark Pro" w:eastAsia="HGGothicE" w:hAnsi="Mark Pro" w:cs="Arial"/>
          <w:u w:val="single"/>
        </w:rPr>
      </w:pPr>
      <w:r w:rsidRPr="00457026">
        <w:rPr>
          <w:rFonts w:ascii="Mark Pro" w:eastAsia="HGGothicE" w:hAnsi="Mark Pro" w:cs="Arial"/>
          <w:u w:val="single"/>
        </w:rPr>
        <w:t>Government response</w:t>
      </w:r>
    </w:p>
    <w:p w14:paraId="0E049652" w14:textId="7111C64C" w:rsidR="00457026" w:rsidRDefault="00457026" w:rsidP="00426E81">
      <w:pPr>
        <w:spacing w:after="120" w:line="276" w:lineRule="auto"/>
        <w:rPr>
          <w:rFonts w:ascii="Mark Pro" w:eastAsia="HGGothicE" w:hAnsi="Mark Pro" w:cs="Arial"/>
        </w:rPr>
      </w:pPr>
      <w:r w:rsidRPr="00457026">
        <w:rPr>
          <w:rFonts w:ascii="Mark Pro" w:eastAsia="HGGothicE" w:hAnsi="Mark Pro" w:cs="Arial"/>
        </w:rPr>
        <w:t>The government acknowledges the concern over the extra administrative load for manufacturers from publishing a Heat Pump Supply Chain Plan. While recogni</w:t>
      </w:r>
      <w:r>
        <w:rPr>
          <w:rFonts w:ascii="Mark Pro" w:eastAsia="HGGothicE" w:hAnsi="Mark Pro" w:cs="Arial"/>
        </w:rPr>
        <w:t>s</w:t>
      </w:r>
      <w:r w:rsidRPr="00457026">
        <w:rPr>
          <w:rFonts w:ascii="Mark Pro" w:eastAsia="HGGothicE" w:hAnsi="Mark Pro" w:cs="Arial"/>
        </w:rPr>
        <w:t>ing potential benefits, including addressing supply chain issues, the government has decided not to implement this requirement at the scheme's launch. However, it remains open to considering this proposal in future years if beneficial and appropriate.</w:t>
      </w:r>
    </w:p>
    <w:p w14:paraId="63D3A12D" w14:textId="77777777" w:rsidR="00457026" w:rsidRDefault="00457026" w:rsidP="00426E81">
      <w:pPr>
        <w:spacing w:after="120" w:line="276" w:lineRule="auto"/>
        <w:rPr>
          <w:rFonts w:ascii="Mark Pro" w:eastAsia="HGGothicE" w:hAnsi="Mark Pro" w:cs="Arial"/>
        </w:rPr>
      </w:pPr>
    </w:p>
    <w:p w14:paraId="1A3702D2" w14:textId="05E6017C" w:rsidR="00A62C0C" w:rsidRPr="00A62C0C" w:rsidRDefault="00A62C0C" w:rsidP="00426E81">
      <w:pPr>
        <w:spacing w:after="120" w:line="276" w:lineRule="auto"/>
        <w:rPr>
          <w:rFonts w:ascii="Mark Pro" w:eastAsia="HGGothicE" w:hAnsi="Mark Pro" w:cs="Arial"/>
        </w:rPr>
      </w:pPr>
      <w:r w:rsidRPr="00A76339">
        <w:rPr>
          <w:rFonts w:ascii="Mark Pro" w:eastAsia="HGGothicE" w:hAnsi="Mark Pro" w:cs="Arial"/>
          <w:b/>
          <w:bCs/>
        </w:rPr>
        <w:t>QUESTION 8</w:t>
      </w:r>
      <w:r w:rsidRPr="00A62C0C">
        <w:rPr>
          <w:rFonts w:ascii="Mark Pro" w:eastAsia="HGGothicE" w:hAnsi="Mark Pro" w:cs="Arial"/>
        </w:rPr>
        <w:t>: Do you agree with the preferred Option 1 in relation to the setting of targets?</w:t>
      </w:r>
    </w:p>
    <w:p w14:paraId="20044C00" w14:textId="0086F3E9" w:rsidR="00924E9E" w:rsidRPr="00924E9E" w:rsidRDefault="00924E9E" w:rsidP="00426E81">
      <w:pPr>
        <w:pStyle w:val="ListParagraph"/>
        <w:numPr>
          <w:ilvl w:val="0"/>
          <w:numId w:val="10"/>
        </w:numPr>
        <w:spacing w:after="120" w:line="276" w:lineRule="auto"/>
        <w:ind w:left="714" w:hanging="357"/>
        <w:contextualSpacing w:val="0"/>
        <w:rPr>
          <w:rFonts w:ascii="Mark Pro" w:eastAsia="HGGothicE" w:hAnsi="Mark Pro" w:cs="Arial"/>
        </w:rPr>
      </w:pPr>
      <w:r w:rsidRPr="00924E9E">
        <w:rPr>
          <w:rFonts w:ascii="Mark Pro" w:eastAsia="HGGothicE" w:hAnsi="Mark Pro" w:cs="Arial"/>
          <w:b/>
          <w:bCs/>
        </w:rPr>
        <w:t xml:space="preserve">SNIPEF </w:t>
      </w:r>
      <w:r w:rsidR="00426E81">
        <w:rPr>
          <w:rFonts w:ascii="Mark Pro" w:eastAsia="HGGothicE" w:hAnsi="Mark Pro" w:cs="Arial"/>
          <w:b/>
          <w:bCs/>
        </w:rPr>
        <w:t>s</w:t>
      </w:r>
      <w:r w:rsidRPr="00924E9E">
        <w:rPr>
          <w:rFonts w:ascii="Mark Pro" w:eastAsia="HGGothicE" w:hAnsi="Mark Pro" w:cs="Arial"/>
          <w:b/>
          <w:bCs/>
        </w:rPr>
        <w:t xml:space="preserve">ubmission: </w:t>
      </w:r>
      <w:r w:rsidRPr="00924E9E">
        <w:rPr>
          <w:rFonts w:ascii="Mark Pro" w:eastAsia="HGGothicE" w:hAnsi="Mark Pro" w:cs="Arial"/>
        </w:rPr>
        <w:t xml:space="preserve">SNIPEF disagreed with Option 1 for setting targets. They argued that consumer demand, rather than manufacturer-driven targets, should drive the demand for </w:t>
      </w:r>
      <w:r>
        <w:rPr>
          <w:rFonts w:ascii="Mark Pro" w:eastAsia="HGGothicE" w:hAnsi="Mark Pro" w:cs="Arial"/>
        </w:rPr>
        <w:t>low-carbon</w:t>
      </w:r>
      <w:r w:rsidRPr="00924E9E">
        <w:rPr>
          <w:rFonts w:ascii="Mark Pro" w:eastAsia="HGGothicE" w:hAnsi="Mark Pro" w:cs="Arial"/>
        </w:rPr>
        <w:t xml:space="preserve"> heating systems. SNIPEF suggested </w:t>
      </w:r>
      <w:r w:rsidR="00BC3D9E">
        <w:rPr>
          <w:rFonts w:ascii="Mark Pro" w:eastAsia="HGGothicE" w:hAnsi="Mark Pro" w:cs="Arial"/>
        </w:rPr>
        <w:t>incentivising</w:t>
      </w:r>
      <w:r w:rsidRPr="00924E9E">
        <w:rPr>
          <w:rFonts w:ascii="Mark Pro" w:eastAsia="HGGothicE" w:hAnsi="Mark Pro" w:cs="Arial"/>
        </w:rPr>
        <w:t xml:space="preserve"> installers and consumers more directly, such as through training and marketing investments by manufacturers and government incentives like green mortgages or lower council taxes.</w:t>
      </w:r>
    </w:p>
    <w:p w14:paraId="54DDEC16" w14:textId="2FF228C0" w:rsidR="00924E9E" w:rsidRPr="00924E9E" w:rsidRDefault="00924E9E" w:rsidP="00426E81">
      <w:pPr>
        <w:pStyle w:val="ListParagraph"/>
        <w:numPr>
          <w:ilvl w:val="0"/>
          <w:numId w:val="10"/>
        </w:numPr>
        <w:spacing w:after="120" w:line="276" w:lineRule="auto"/>
        <w:ind w:left="714" w:hanging="357"/>
        <w:contextualSpacing w:val="0"/>
        <w:rPr>
          <w:rFonts w:ascii="Mark Pro" w:eastAsia="HGGothicE" w:hAnsi="Mark Pro" w:cs="Arial"/>
        </w:rPr>
      </w:pPr>
      <w:r w:rsidRPr="00924E9E">
        <w:rPr>
          <w:rFonts w:ascii="Mark Pro" w:eastAsia="HGGothicE" w:hAnsi="Mark Pro" w:cs="Arial"/>
          <w:b/>
          <w:bCs/>
        </w:rPr>
        <w:t xml:space="preserve">Consultation </w:t>
      </w:r>
      <w:r w:rsidR="00426E81">
        <w:rPr>
          <w:rFonts w:ascii="Mark Pro" w:eastAsia="HGGothicE" w:hAnsi="Mark Pro" w:cs="Arial"/>
          <w:b/>
          <w:bCs/>
        </w:rPr>
        <w:t>r</w:t>
      </w:r>
      <w:r w:rsidRPr="00924E9E">
        <w:rPr>
          <w:rFonts w:ascii="Mark Pro" w:eastAsia="HGGothicE" w:hAnsi="Mark Pro" w:cs="Arial"/>
          <w:b/>
          <w:bCs/>
        </w:rPr>
        <w:t xml:space="preserve">eport </w:t>
      </w:r>
      <w:r w:rsidR="00426E81">
        <w:rPr>
          <w:rFonts w:ascii="Mark Pro" w:eastAsia="HGGothicE" w:hAnsi="Mark Pro" w:cs="Arial"/>
          <w:b/>
          <w:bCs/>
        </w:rPr>
        <w:t>s</w:t>
      </w:r>
      <w:r w:rsidRPr="00924E9E">
        <w:rPr>
          <w:rFonts w:ascii="Mark Pro" w:eastAsia="HGGothicE" w:hAnsi="Mark Pro" w:cs="Arial"/>
          <w:b/>
          <w:bCs/>
        </w:rPr>
        <w:t>ummary:</w:t>
      </w:r>
      <w:r w:rsidRPr="00924E9E">
        <w:rPr>
          <w:rFonts w:ascii="Mark Pro" w:eastAsia="HGGothicE" w:hAnsi="Mark Pro" w:cs="Arial"/>
        </w:rPr>
        <w:t xml:space="preserve"> </w:t>
      </w:r>
      <w:r w:rsidR="00426E81">
        <w:rPr>
          <w:rFonts w:ascii="Mark Pro" w:eastAsia="HGGothicE" w:hAnsi="Mark Pro" w:cs="Arial"/>
        </w:rPr>
        <w:t>Most</w:t>
      </w:r>
      <w:r w:rsidRPr="00924E9E">
        <w:rPr>
          <w:rFonts w:ascii="Mark Pro" w:eastAsia="HGGothicE" w:hAnsi="Mark Pro" w:cs="Arial"/>
        </w:rPr>
        <w:t xml:space="preserve"> respondents (36 out of 60) disagreed with introducing Option 1 target levels. Their concerns included the targets being overly ambitious or not ambitious enough, the influence of the Boiler Upgrade Scheme budget, the inability of manufacturers to influence sales patterns, and the limited number of qualified heat pump installers. Those who agreed (24 respondents) believed Option 1 targets were appropriate for scaling up the sector but emphasi</w:t>
      </w:r>
      <w:r>
        <w:rPr>
          <w:rFonts w:ascii="Mark Pro" w:eastAsia="HGGothicE" w:hAnsi="Mark Pro" w:cs="Arial"/>
        </w:rPr>
        <w:t>s</w:t>
      </w:r>
      <w:r w:rsidRPr="00924E9E">
        <w:rPr>
          <w:rFonts w:ascii="Mark Pro" w:eastAsia="HGGothicE" w:hAnsi="Mark Pro" w:cs="Arial"/>
        </w:rPr>
        <w:t>ed the importance of other market enablers.</w:t>
      </w:r>
    </w:p>
    <w:p w14:paraId="645E4A67" w14:textId="1AAC7017" w:rsidR="00924E9E" w:rsidRPr="00924E9E" w:rsidRDefault="00924E9E" w:rsidP="00426E81">
      <w:pPr>
        <w:pStyle w:val="ListParagraph"/>
        <w:numPr>
          <w:ilvl w:val="0"/>
          <w:numId w:val="10"/>
        </w:numPr>
        <w:spacing w:after="120" w:line="276" w:lineRule="auto"/>
        <w:ind w:left="714" w:hanging="357"/>
        <w:contextualSpacing w:val="0"/>
        <w:rPr>
          <w:rFonts w:ascii="Mark Pro" w:eastAsia="HGGothicE" w:hAnsi="Mark Pro" w:cs="Arial"/>
        </w:rPr>
      </w:pPr>
      <w:r w:rsidRPr="00924E9E">
        <w:rPr>
          <w:rFonts w:ascii="Mark Pro" w:eastAsia="HGGothicE" w:hAnsi="Mark Pro" w:cs="Arial"/>
          <w:b/>
          <w:bCs/>
        </w:rPr>
        <w:t xml:space="preserve">Government's </w:t>
      </w:r>
      <w:r w:rsidR="00426E81">
        <w:rPr>
          <w:rFonts w:ascii="Mark Pro" w:eastAsia="HGGothicE" w:hAnsi="Mark Pro" w:cs="Arial"/>
          <w:b/>
          <w:bCs/>
        </w:rPr>
        <w:t>r</w:t>
      </w:r>
      <w:r w:rsidRPr="00924E9E">
        <w:rPr>
          <w:rFonts w:ascii="Mark Pro" w:eastAsia="HGGothicE" w:hAnsi="Mark Pro" w:cs="Arial"/>
          <w:b/>
          <w:bCs/>
        </w:rPr>
        <w:t>esponse:</w:t>
      </w:r>
      <w:r w:rsidRPr="00924E9E">
        <w:rPr>
          <w:rFonts w:ascii="Mark Pro" w:eastAsia="HGGothicE" w:hAnsi="Mark Pro" w:cs="Arial"/>
        </w:rPr>
        <w:t xml:space="preserve"> The government </w:t>
      </w:r>
      <w:r w:rsidR="00426E81">
        <w:rPr>
          <w:rFonts w:ascii="Mark Pro" w:eastAsia="HGGothicE" w:hAnsi="Mark Pro" w:cs="Arial"/>
        </w:rPr>
        <w:t xml:space="preserve">has </w:t>
      </w:r>
      <w:r w:rsidRPr="00924E9E">
        <w:rPr>
          <w:rFonts w:ascii="Mark Pro" w:eastAsia="HGGothicE" w:hAnsi="Mark Pro" w:cs="Arial"/>
        </w:rPr>
        <w:t xml:space="preserve">decided to proceed with Option 1 target levels. They considered this approach reasonable and realistic for the </w:t>
      </w:r>
      <w:r w:rsidR="00426E81">
        <w:rPr>
          <w:rFonts w:ascii="Mark Pro" w:eastAsia="HGGothicE" w:hAnsi="Mark Pro" w:cs="Arial"/>
        </w:rPr>
        <w:t>scheme's first two years</w:t>
      </w:r>
      <w:r w:rsidRPr="00924E9E">
        <w:rPr>
          <w:rFonts w:ascii="Mark Pro" w:eastAsia="HGGothicE" w:hAnsi="Mark Pro" w:cs="Arial"/>
        </w:rPr>
        <w:t xml:space="preserve"> while allowing for acceleration in later years. They acknowledged the need for flexibility and increased the target carry-forward allowance from 25% to 35% for the first two years. The government also noted the decision to remove new-build fossil fuel boiler sales from target calculations, potentially lowering targets nominally. They </w:t>
      </w:r>
      <w:r w:rsidR="00426E81">
        <w:rPr>
          <w:rFonts w:ascii="Mark Pro" w:eastAsia="HGGothicE" w:hAnsi="Mark Pro" w:cs="Arial"/>
        </w:rPr>
        <w:t>recognised</w:t>
      </w:r>
      <w:r w:rsidRPr="00924E9E">
        <w:rPr>
          <w:rFonts w:ascii="Mark Pro" w:eastAsia="HGGothicE" w:hAnsi="Mark Pro" w:cs="Arial"/>
        </w:rPr>
        <w:t xml:space="preserve"> the need for continuous review and adjustments to the scheme parameters.</w:t>
      </w:r>
    </w:p>
    <w:p w14:paraId="47CEF54B" w14:textId="63815B34" w:rsidR="00924E9E" w:rsidRPr="00924E9E" w:rsidRDefault="00924E9E" w:rsidP="00426E81">
      <w:pPr>
        <w:spacing w:after="120" w:line="276" w:lineRule="auto"/>
        <w:rPr>
          <w:rFonts w:ascii="Mark Pro" w:eastAsia="HGGothicE" w:hAnsi="Mark Pro" w:cs="Arial"/>
        </w:rPr>
      </w:pPr>
      <w:r w:rsidRPr="00924E9E">
        <w:rPr>
          <w:rFonts w:ascii="Mark Pro" w:eastAsia="HGGothicE" w:hAnsi="Mark Pro" w:cs="Arial"/>
          <w:b/>
          <w:bCs/>
        </w:rPr>
        <w:t>Disagreement</w:t>
      </w:r>
      <w:r w:rsidR="00426E81">
        <w:rPr>
          <w:rFonts w:ascii="Mark Pro" w:eastAsia="HGGothicE" w:hAnsi="Mark Pro" w:cs="Arial"/>
          <w:b/>
          <w:bCs/>
        </w:rPr>
        <w:t xml:space="preserve"> with SNIPEF submission</w:t>
      </w:r>
    </w:p>
    <w:p w14:paraId="2E936B96" w14:textId="77777777" w:rsidR="00A76339" w:rsidRPr="00A62C0C" w:rsidRDefault="00A76339" w:rsidP="00426E81">
      <w:pPr>
        <w:spacing w:after="120" w:line="276" w:lineRule="auto"/>
        <w:rPr>
          <w:rFonts w:ascii="Mark Pro" w:eastAsia="HGGothicE" w:hAnsi="Mark Pro" w:cs="Arial"/>
        </w:rPr>
      </w:pPr>
    </w:p>
    <w:p w14:paraId="30163D05" w14:textId="413F98A2" w:rsidR="00A62C0C" w:rsidRPr="00A62C0C" w:rsidRDefault="00A62C0C" w:rsidP="00426E81">
      <w:pPr>
        <w:spacing w:after="120" w:line="276" w:lineRule="auto"/>
        <w:rPr>
          <w:rFonts w:ascii="Mark Pro" w:eastAsia="HGGothicE" w:hAnsi="Mark Pro" w:cs="Arial"/>
        </w:rPr>
      </w:pPr>
      <w:r w:rsidRPr="00924E9E">
        <w:rPr>
          <w:rFonts w:ascii="Mark Pro" w:eastAsia="HGGothicE" w:hAnsi="Mark Pro" w:cs="Arial"/>
          <w:b/>
          <w:bCs/>
        </w:rPr>
        <w:t>QUESTION 9</w:t>
      </w:r>
      <w:r w:rsidRPr="00A62C0C">
        <w:rPr>
          <w:rFonts w:ascii="Mark Pro" w:eastAsia="HGGothicE" w:hAnsi="Mark Pro" w:cs="Arial"/>
        </w:rPr>
        <w:t>: Do you agree that, at least for the first year, all qualifying fossil fuel-heat pump hybrids should receive 0.5 credits at the outset of the CHMM scheme?</w:t>
      </w:r>
    </w:p>
    <w:p w14:paraId="79FBE6FB" w14:textId="096F0B36" w:rsidR="00924E9E" w:rsidRPr="00924E9E" w:rsidRDefault="00924E9E" w:rsidP="00426E81">
      <w:pPr>
        <w:pStyle w:val="ListParagraph"/>
        <w:numPr>
          <w:ilvl w:val="0"/>
          <w:numId w:val="12"/>
        </w:numPr>
        <w:spacing w:after="120" w:line="276" w:lineRule="auto"/>
        <w:ind w:left="714" w:hanging="357"/>
        <w:contextualSpacing w:val="0"/>
        <w:rPr>
          <w:rFonts w:ascii="Mark Pro" w:eastAsia="HGGothicE" w:hAnsi="Mark Pro" w:cs="Arial"/>
        </w:rPr>
      </w:pPr>
      <w:r w:rsidRPr="00924E9E">
        <w:rPr>
          <w:rFonts w:ascii="Mark Pro" w:eastAsia="HGGothicE" w:hAnsi="Mark Pro" w:cs="Arial"/>
          <w:b/>
          <w:bCs/>
        </w:rPr>
        <w:t>SNIPEF</w:t>
      </w:r>
      <w:r w:rsidR="00426E81">
        <w:rPr>
          <w:rFonts w:ascii="Mark Pro" w:eastAsia="HGGothicE" w:hAnsi="Mark Pro" w:cs="Arial"/>
          <w:b/>
          <w:bCs/>
        </w:rPr>
        <w:t xml:space="preserve"> submission</w:t>
      </w:r>
      <w:r w:rsidRPr="00924E9E">
        <w:rPr>
          <w:rFonts w:ascii="Mark Pro" w:eastAsia="HGGothicE" w:hAnsi="Mark Pro" w:cs="Arial"/>
        </w:rPr>
        <w:t>: SNIPEF agreed with the proposal to award 0.5 credits to qualifying fossil fuel-heat pump hybrids in the first year of the CHMM scheme. They viewed hybrids as a transitional solution for customers moving towards low-carbon heating, especially considering financial constraints and the current cost of living.</w:t>
      </w:r>
    </w:p>
    <w:p w14:paraId="59E0C105" w14:textId="16EF995F" w:rsidR="00924E9E" w:rsidRPr="00924E9E" w:rsidRDefault="00924E9E" w:rsidP="00426E81">
      <w:pPr>
        <w:pStyle w:val="ListParagraph"/>
        <w:numPr>
          <w:ilvl w:val="0"/>
          <w:numId w:val="12"/>
        </w:numPr>
        <w:spacing w:after="120" w:line="276" w:lineRule="auto"/>
        <w:ind w:left="714" w:hanging="357"/>
        <w:contextualSpacing w:val="0"/>
        <w:rPr>
          <w:rFonts w:ascii="Mark Pro" w:eastAsia="HGGothicE" w:hAnsi="Mark Pro" w:cs="Arial"/>
        </w:rPr>
      </w:pPr>
      <w:r w:rsidRPr="00924E9E">
        <w:rPr>
          <w:rFonts w:ascii="Mark Pro" w:eastAsia="HGGothicE" w:hAnsi="Mark Pro" w:cs="Arial"/>
          <w:b/>
          <w:bCs/>
        </w:rPr>
        <w:t xml:space="preserve">Consultation </w:t>
      </w:r>
      <w:r w:rsidR="00426E81">
        <w:rPr>
          <w:rFonts w:ascii="Mark Pro" w:eastAsia="HGGothicE" w:hAnsi="Mark Pro" w:cs="Arial"/>
          <w:b/>
          <w:bCs/>
        </w:rPr>
        <w:t>r</w:t>
      </w:r>
      <w:r w:rsidRPr="00924E9E">
        <w:rPr>
          <w:rFonts w:ascii="Mark Pro" w:eastAsia="HGGothicE" w:hAnsi="Mark Pro" w:cs="Arial"/>
          <w:b/>
          <w:bCs/>
        </w:rPr>
        <w:t xml:space="preserve">eport </w:t>
      </w:r>
      <w:r w:rsidR="00426E81">
        <w:rPr>
          <w:rFonts w:ascii="Mark Pro" w:eastAsia="HGGothicE" w:hAnsi="Mark Pro" w:cs="Arial"/>
          <w:b/>
          <w:bCs/>
        </w:rPr>
        <w:t>s</w:t>
      </w:r>
      <w:r w:rsidRPr="00924E9E">
        <w:rPr>
          <w:rFonts w:ascii="Mark Pro" w:eastAsia="HGGothicE" w:hAnsi="Mark Pro" w:cs="Arial"/>
          <w:b/>
          <w:bCs/>
        </w:rPr>
        <w:t>ummary</w:t>
      </w:r>
      <w:r w:rsidRPr="00924E9E">
        <w:rPr>
          <w:rFonts w:ascii="Mark Pro" w:eastAsia="HGGothicE" w:hAnsi="Mark Pro" w:cs="Arial"/>
        </w:rPr>
        <w:t xml:space="preserve">: The responses were varied. Twenty respondents agreed with the 0.5 credit allocation, viewing it as reflecting hybrids' reliance on fossil fuels. Eighteen suggested a higher weighting, arguing that hybrids might use the heat pump element more than anticipated. Twelve respondents recommended a future review of the credit rating for hybrids, while seven suggested lower credits or exclusion due to </w:t>
      </w:r>
      <w:r w:rsidRPr="00924E9E">
        <w:rPr>
          <w:rFonts w:ascii="Mark Pro" w:eastAsia="HGGothicE" w:hAnsi="Mark Pro" w:cs="Arial"/>
        </w:rPr>
        <w:lastRenderedPageBreak/>
        <w:t>continued fossil fuel use. Eight recommended different weightings for different hybrid types based on efficiency.</w:t>
      </w:r>
    </w:p>
    <w:p w14:paraId="754D9F58" w14:textId="1F56D4AB" w:rsidR="00924E9E" w:rsidRPr="00924E9E" w:rsidRDefault="00924E9E" w:rsidP="00426E81">
      <w:pPr>
        <w:pStyle w:val="ListParagraph"/>
        <w:numPr>
          <w:ilvl w:val="0"/>
          <w:numId w:val="12"/>
        </w:numPr>
        <w:spacing w:after="120" w:line="276" w:lineRule="auto"/>
        <w:ind w:left="714" w:hanging="357"/>
        <w:contextualSpacing w:val="0"/>
        <w:rPr>
          <w:rFonts w:ascii="Mark Pro" w:eastAsia="HGGothicE" w:hAnsi="Mark Pro" w:cs="Arial"/>
        </w:rPr>
      </w:pPr>
      <w:r w:rsidRPr="00924E9E">
        <w:rPr>
          <w:rFonts w:ascii="Mark Pro" w:eastAsia="HGGothicE" w:hAnsi="Mark Pro" w:cs="Arial"/>
          <w:b/>
          <w:bCs/>
        </w:rPr>
        <w:t xml:space="preserve">Government </w:t>
      </w:r>
      <w:r w:rsidR="0055722E">
        <w:rPr>
          <w:rFonts w:ascii="Mark Pro" w:eastAsia="HGGothicE" w:hAnsi="Mark Pro" w:cs="Arial"/>
          <w:b/>
          <w:bCs/>
        </w:rPr>
        <w:t xml:space="preserve">response: </w:t>
      </w:r>
      <w:r w:rsidR="0055722E" w:rsidRPr="0055722E">
        <w:rPr>
          <w:rFonts w:ascii="Mark Pro" w:eastAsia="HGGothicE" w:hAnsi="Mark Pro" w:cs="Arial"/>
        </w:rPr>
        <w:t>The government has decided to retain the initial proposal to award</w:t>
      </w:r>
      <w:r w:rsidRPr="00924E9E">
        <w:rPr>
          <w:rFonts w:ascii="Mark Pro" w:eastAsia="HGGothicE" w:hAnsi="Mark Pro" w:cs="Arial"/>
        </w:rPr>
        <w:t xml:space="preserve"> 0.5 credits to qualifying fossil fuel hybrids. They believe </w:t>
      </w:r>
      <w:r w:rsidR="00426E81" w:rsidRPr="00924E9E">
        <w:rPr>
          <w:rFonts w:ascii="Mark Pro" w:eastAsia="HGGothicE" w:hAnsi="Mark Pro" w:cs="Arial"/>
        </w:rPr>
        <w:t xml:space="preserve">these </w:t>
      </w:r>
      <w:r w:rsidR="0055722E">
        <w:rPr>
          <w:rFonts w:ascii="Mark Pro" w:eastAsia="HGGothicE" w:hAnsi="Mark Pro" w:cs="Arial"/>
        </w:rPr>
        <w:t>balance</w:t>
      </w:r>
      <w:r w:rsidRPr="00924E9E">
        <w:rPr>
          <w:rFonts w:ascii="Mark Pro" w:eastAsia="HGGothicE" w:hAnsi="Mark Pro" w:cs="Arial"/>
        </w:rPr>
        <w:t xml:space="preserve"> </w:t>
      </w:r>
      <w:r w:rsidR="0055722E">
        <w:rPr>
          <w:rFonts w:ascii="Mark Pro" w:eastAsia="HGGothicE" w:hAnsi="Mark Pro" w:cs="Arial"/>
        </w:rPr>
        <w:t xml:space="preserve">hybrids' lower efficiency and carbon reduction potential </w:t>
      </w:r>
      <w:r w:rsidRPr="00924E9E">
        <w:rPr>
          <w:rFonts w:ascii="Mark Pro" w:eastAsia="HGGothicE" w:hAnsi="Mark Pro" w:cs="Arial"/>
        </w:rPr>
        <w:t xml:space="preserve">against the need to build the heat pump market. The government chose not to introduce additional conditions for hybrid eligibility or different weightings for different types of </w:t>
      </w:r>
      <w:proofErr w:type="gramStart"/>
      <w:r w:rsidRPr="00924E9E">
        <w:rPr>
          <w:rFonts w:ascii="Mark Pro" w:eastAsia="HGGothicE" w:hAnsi="Mark Pro" w:cs="Arial"/>
        </w:rPr>
        <w:t>hybrids</w:t>
      </w:r>
      <w:r w:rsidR="0055722E">
        <w:rPr>
          <w:rFonts w:ascii="Mark Pro" w:eastAsia="HGGothicE" w:hAnsi="Mark Pro" w:cs="Arial"/>
        </w:rPr>
        <w:t xml:space="preserve">, </w:t>
      </w:r>
      <w:r w:rsidRPr="00924E9E">
        <w:rPr>
          <w:rFonts w:ascii="Mark Pro" w:eastAsia="HGGothicE" w:hAnsi="Mark Pro" w:cs="Arial"/>
        </w:rPr>
        <w:t>but</w:t>
      </w:r>
      <w:proofErr w:type="gramEnd"/>
      <w:r w:rsidRPr="00924E9E">
        <w:rPr>
          <w:rFonts w:ascii="Mark Pro" w:eastAsia="HGGothicE" w:hAnsi="Mark Pro" w:cs="Arial"/>
        </w:rPr>
        <w:t xml:space="preserve"> will keep these parameters under review for future adjustments.</w:t>
      </w:r>
    </w:p>
    <w:p w14:paraId="3DE6E3F6" w14:textId="0F08E118" w:rsidR="00924E9E" w:rsidRPr="0055722E" w:rsidRDefault="00924E9E" w:rsidP="00426E81">
      <w:pPr>
        <w:spacing w:after="120" w:line="276" w:lineRule="auto"/>
        <w:rPr>
          <w:rFonts w:ascii="Mark Pro" w:eastAsia="HGGothicE" w:hAnsi="Mark Pro" w:cs="Arial"/>
          <w:b/>
          <w:bCs/>
        </w:rPr>
      </w:pPr>
      <w:r w:rsidRPr="0055722E">
        <w:rPr>
          <w:rFonts w:ascii="Mark Pro" w:eastAsia="HGGothicE" w:hAnsi="Mark Pro" w:cs="Arial"/>
          <w:b/>
          <w:bCs/>
        </w:rPr>
        <w:t xml:space="preserve">Agreement </w:t>
      </w:r>
      <w:r w:rsidR="0055722E" w:rsidRPr="0055722E">
        <w:rPr>
          <w:rFonts w:ascii="Mark Pro" w:eastAsia="HGGothicE" w:hAnsi="Mark Pro" w:cs="Arial"/>
          <w:b/>
          <w:bCs/>
        </w:rPr>
        <w:t>with SNIPEF submission</w:t>
      </w:r>
    </w:p>
    <w:p w14:paraId="22D25273" w14:textId="2017CB6A" w:rsidR="00924E9E" w:rsidRDefault="00924E9E" w:rsidP="00426E81">
      <w:pPr>
        <w:spacing w:after="120" w:line="276" w:lineRule="auto"/>
        <w:rPr>
          <w:rFonts w:ascii="Mark Pro" w:eastAsia="HGGothicE" w:hAnsi="Mark Pro" w:cs="Arial"/>
        </w:rPr>
      </w:pPr>
    </w:p>
    <w:p w14:paraId="4BE35E93" w14:textId="6F7853CB" w:rsidR="002E661B" w:rsidRPr="002E661B" w:rsidRDefault="002E661B" w:rsidP="00426E81">
      <w:pPr>
        <w:spacing w:after="120" w:line="276" w:lineRule="auto"/>
        <w:rPr>
          <w:rFonts w:ascii="Mark Pro" w:eastAsia="HGGothicE" w:hAnsi="Mark Pro" w:cs="Arial"/>
        </w:rPr>
      </w:pPr>
      <w:r w:rsidRPr="002E661B">
        <w:rPr>
          <w:rFonts w:ascii="Mark Pro" w:eastAsia="HGGothicE" w:hAnsi="Mark Pro" w:cs="Arial"/>
          <w:b/>
          <w:bCs/>
        </w:rPr>
        <w:t>QUESTION 10</w:t>
      </w:r>
      <w:r>
        <w:rPr>
          <w:rFonts w:ascii="Mark Pro" w:eastAsia="HGGothicE" w:hAnsi="Mark Pro" w:cs="Arial"/>
        </w:rPr>
        <w:t xml:space="preserve">: </w:t>
      </w:r>
      <w:r w:rsidRPr="002E661B">
        <w:rPr>
          <w:rFonts w:ascii="Mark Pro" w:eastAsia="HGGothicE" w:hAnsi="Mark Pro" w:cs="Arial"/>
        </w:rPr>
        <w:t>Do you agree with the proposal to use obligated parties’ UK sales of relevant fossil fuel boilers to calculate their obligation?</w:t>
      </w:r>
    </w:p>
    <w:p w14:paraId="7A7AD085" w14:textId="77777777" w:rsidR="002E661B" w:rsidRPr="00BC3D9E" w:rsidRDefault="002E661B"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549E6B1D" w14:textId="77777777" w:rsidR="002E661B" w:rsidRPr="00BC3D9E" w:rsidRDefault="002E661B"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773AB973" w14:textId="2B97FA1D" w:rsidR="002E661B" w:rsidRPr="002E661B" w:rsidRDefault="002E661B" w:rsidP="00426E81">
      <w:pPr>
        <w:spacing w:after="120" w:line="276" w:lineRule="auto"/>
        <w:rPr>
          <w:rFonts w:ascii="Mark Pro" w:eastAsia="HGGothicE" w:hAnsi="Mark Pro" w:cs="Arial"/>
        </w:rPr>
      </w:pPr>
      <w:r w:rsidRPr="002E661B">
        <w:rPr>
          <w:rFonts w:ascii="Mark Pro" w:eastAsia="HGGothicE" w:hAnsi="Mark Pro" w:cs="Arial"/>
        </w:rPr>
        <w:t xml:space="preserve">Respondents in favour </w:t>
      </w:r>
      <w:r>
        <w:rPr>
          <w:rFonts w:ascii="Mark Pro" w:eastAsia="HGGothicE" w:hAnsi="Mark Pro" w:cs="Arial"/>
        </w:rPr>
        <w:t xml:space="preserve">(33) </w:t>
      </w:r>
      <w:r w:rsidRPr="002E661B">
        <w:rPr>
          <w:rFonts w:ascii="Mark Pro" w:eastAsia="HGGothicE" w:hAnsi="Mark Pro" w:cs="Arial"/>
        </w:rPr>
        <w:t>argued that there is limited installation-level data about boilers</w:t>
      </w:r>
      <w:r>
        <w:rPr>
          <w:rFonts w:ascii="Mark Pro" w:eastAsia="HGGothicE" w:hAnsi="Mark Pro" w:cs="Arial"/>
        </w:rPr>
        <w:t xml:space="preserve"> and that</w:t>
      </w:r>
      <w:r w:rsidRPr="002E661B">
        <w:rPr>
          <w:rFonts w:ascii="Mark Pro" w:eastAsia="HGGothicE" w:hAnsi="Mark Pro" w:cs="Arial"/>
        </w:rPr>
        <w:t xml:space="preserve"> sales data would be the more accurate source. Some also noted that recording information about boiler sales might be </w:t>
      </w:r>
      <w:r>
        <w:rPr>
          <w:rFonts w:ascii="Mark Pro" w:eastAsia="HGGothicE" w:hAnsi="Mark Pro" w:cs="Arial"/>
        </w:rPr>
        <w:t>helpful for</w:t>
      </w:r>
      <w:r w:rsidRPr="002E661B">
        <w:rPr>
          <w:rFonts w:ascii="Mark Pro" w:eastAsia="HGGothicE" w:hAnsi="Mark Pro" w:cs="Arial"/>
        </w:rPr>
        <w:t xml:space="preserve"> future decarbonisation efforts for the heating market. Some of those in favour also reiterated that hydrogen-ready boiler sales should be in scope for the obligation.</w:t>
      </w:r>
    </w:p>
    <w:p w14:paraId="7C1CDE65" w14:textId="77777777" w:rsidR="0055722E" w:rsidRDefault="002E661B" w:rsidP="00426E81">
      <w:pPr>
        <w:spacing w:after="120" w:line="276" w:lineRule="auto"/>
        <w:rPr>
          <w:rFonts w:ascii="Mark Pro" w:eastAsia="HGGothicE" w:hAnsi="Mark Pro" w:cs="Arial"/>
        </w:rPr>
      </w:pPr>
      <w:r w:rsidRPr="002E661B">
        <w:rPr>
          <w:rFonts w:ascii="Mark Pro" w:eastAsia="HGGothicE" w:hAnsi="Mark Pro" w:cs="Arial"/>
        </w:rPr>
        <w:t>Respondents that disagreed</w:t>
      </w:r>
      <w:r>
        <w:rPr>
          <w:rFonts w:ascii="Mark Pro" w:eastAsia="HGGothicE" w:hAnsi="Mark Pro" w:cs="Arial"/>
        </w:rPr>
        <w:t xml:space="preserve"> (20)</w:t>
      </w:r>
      <w:r w:rsidRPr="002E661B">
        <w:rPr>
          <w:rFonts w:ascii="Mark Pro" w:eastAsia="HGGothicE" w:hAnsi="Mark Pro" w:cs="Arial"/>
        </w:rPr>
        <w:t xml:space="preserve"> with the proposals argued that the same </w:t>
      </w:r>
      <w:r w:rsidR="0055722E">
        <w:rPr>
          <w:rFonts w:ascii="Mark Pro" w:eastAsia="HGGothicE" w:hAnsi="Mark Pro" w:cs="Arial"/>
        </w:rPr>
        <w:t>data category</w:t>
      </w:r>
      <w:r w:rsidRPr="002E661B">
        <w:rPr>
          <w:rFonts w:ascii="Mark Pro" w:eastAsia="HGGothicE" w:hAnsi="Mark Pro" w:cs="Arial"/>
        </w:rPr>
        <w:t xml:space="preserve"> should be used to calculate the obligation and record progress against targets, ie, stating that boiler sales should be compared to heat pump sales, or certified boiler installations compared to certified heat pump installations. </w:t>
      </w:r>
    </w:p>
    <w:p w14:paraId="384944BD" w14:textId="33270CA5" w:rsidR="002E661B" w:rsidRDefault="002E661B" w:rsidP="00426E81">
      <w:pPr>
        <w:spacing w:after="120" w:line="276" w:lineRule="auto"/>
        <w:rPr>
          <w:rFonts w:ascii="Mark Pro" w:eastAsia="HGGothicE" w:hAnsi="Mark Pro" w:cs="Arial"/>
        </w:rPr>
      </w:pPr>
      <w:r w:rsidRPr="002E661B">
        <w:rPr>
          <w:rFonts w:ascii="Mark Pro" w:eastAsia="HGGothicE" w:hAnsi="Mark Pro" w:cs="Arial"/>
        </w:rPr>
        <w:t xml:space="preserve">Some opposed to the proposal also argued that MCS coverage of heat pump installations might not be sufficient to capture an accurate proportion of heat pumps going into homes across the UK, given </w:t>
      </w:r>
      <w:r>
        <w:rPr>
          <w:rFonts w:ascii="Mark Pro" w:eastAsia="HGGothicE" w:hAnsi="Mark Pro" w:cs="Arial"/>
        </w:rPr>
        <w:t>variations</w:t>
      </w:r>
      <w:r w:rsidRPr="002E661B">
        <w:rPr>
          <w:rFonts w:ascii="Mark Pro" w:eastAsia="HGGothicE" w:hAnsi="Mark Pro" w:cs="Arial"/>
        </w:rPr>
        <w:t xml:space="preserve"> in certification scheme membership</w:t>
      </w:r>
      <w:r>
        <w:rPr>
          <w:rFonts w:ascii="Mark Pro" w:eastAsia="HGGothicE" w:hAnsi="Mark Pro" w:cs="Arial"/>
        </w:rPr>
        <w:t>.</w:t>
      </w:r>
    </w:p>
    <w:p w14:paraId="1A0CA389" w14:textId="7BEFF831" w:rsidR="002E661B" w:rsidRPr="0055722E" w:rsidRDefault="0055722E" w:rsidP="00426E81">
      <w:pPr>
        <w:spacing w:after="120" w:line="276" w:lineRule="auto"/>
        <w:rPr>
          <w:rFonts w:ascii="Mark Pro" w:eastAsia="HGGothicE" w:hAnsi="Mark Pro" w:cs="Arial"/>
          <w:u w:val="single"/>
        </w:rPr>
      </w:pPr>
      <w:r w:rsidRPr="0055722E">
        <w:rPr>
          <w:rFonts w:ascii="Mark Pro" w:eastAsia="HGGothicE" w:hAnsi="Mark Pro" w:cs="Arial"/>
          <w:u w:val="single"/>
        </w:rPr>
        <w:t>Government response</w:t>
      </w:r>
    </w:p>
    <w:p w14:paraId="60C802C8" w14:textId="199BEBEB" w:rsidR="0055722E" w:rsidRDefault="0055722E" w:rsidP="00426E81">
      <w:pPr>
        <w:spacing w:after="120" w:line="276" w:lineRule="auto"/>
        <w:rPr>
          <w:rFonts w:ascii="Mark Pro" w:eastAsia="HGGothicE" w:hAnsi="Mark Pro" w:cs="Arial"/>
        </w:rPr>
      </w:pPr>
      <w:r w:rsidRPr="0055722E">
        <w:rPr>
          <w:rFonts w:ascii="Mark Pro" w:eastAsia="HGGothicE" w:hAnsi="Mark Pro" w:cs="Arial"/>
        </w:rPr>
        <w:t xml:space="preserve">The government concurs with most respondents that CHMM obligations should be based on UK fossil fuel boiler sales, excluding exports and new-build installations, with proper evidence provided. Manufacturers above or near obligation thresholds must submit quarterly sales figures and an annual, independently verified Boiler Sales Report. This approach allows participants to </w:t>
      </w:r>
      <w:r>
        <w:rPr>
          <w:rFonts w:ascii="Mark Pro" w:eastAsia="HGGothicE" w:hAnsi="Mark Pro" w:cs="Arial"/>
        </w:rPr>
        <w:t xml:space="preserve">manage their obligations directly </w:t>
      </w:r>
      <w:r w:rsidRPr="0055722E">
        <w:rPr>
          <w:rFonts w:ascii="Mark Pro" w:eastAsia="HGGothicE" w:hAnsi="Mark Pro" w:cs="Arial"/>
        </w:rPr>
        <w:t>while ensuring clarity and transparency in the calculation process.</w:t>
      </w:r>
    </w:p>
    <w:p w14:paraId="762A6A50" w14:textId="0DB65CBB" w:rsidR="0055722E" w:rsidRDefault="0055722E" w:rsidP="00426E81">
      <w:pPr>
        <w:spacing w:after="120" w:line="276" w:lineRule="auto"/>
        <w:rPr>
          <w:rFonts w:ascii="Mark Pro" w:eastAsia="HGGothicE" w:hAnsi="Mark Pro" w:cs="Arial"/>
        </w:rPr>
      </w:pPr>
    </w:p>
    <w:p w14:paraId="28103AEA" w14:textId="11B0F9B4" w:rsidR="0055722E" w:rsidRDefault="0055722E" w:rsidP="00426E81">
      <w:pPr>
        <w:spacing w:after="120" w:line="276" w:lineRule="auto"/>
        <w:rPr>
          <w:rFonts w:ascii="Mark Pro" w:eastAsia="HGGothicE" w:hAnsi="Mark Pro" w:cs="Arial"/>
        </w:rPr>
      </w:pPr>
    </w:p>
    <w:p w14:paraId="4D6827EF" w14:textId="2FD0E8D9" w:rsidR="0055722E" w:rsidRDefault="0055722E" w:rsidP="00426E81">
      <w:pPr>
        <w:spacing w:after="120" w:line="276" w:lineRule="auto"/>
        <w:rPr>
          <w:rFonts w:ascii="Mark Pro" w:eastAsia="HGGothicE" w:hAnsi="Mark Pro" w:cs="Arial"/>
        </w:rPr>
      </w:pPr>
    </w:p>
    <w:p w14:paraId="7C818B52" w14:textId="77777777" w:rsidR="0055722E" w:rsidRPr="00A62C0C" w:rsidRDefault="0055722E" w:rsidP="00426E81">
      <w:pPr>
        <w:spacing w:after="120" w:line="276" w:lineRule="auto"/>
        <w:rPr>
          <w:rFonts w:ascii="Mark Pro" w:eastAsia="HGGothicE" w:hAnsi="Mark Pro" w:cs="Arial"/>
        </w:rPr>
      </w:pPr>
    </w:p>
    <w:p w14:paraId="6A2A69BB" w14:textId="07564412" w:rsidR="00A62C0C" w:rsidRPr="00A62C0C" w:rsidRDefault="00A62C0C" w:rsidP="00426E81">
      <w:pPr>
        <w:spacing w:after="120" w:line="276" w:lineRule="auto"/>
        <w:rPr>
          <w:rFonts w:ascii="Mark Pro" w:eastAsia="HGGothicE" w:hAnsi="Mark Pro" w:cs="Arial"/>
        </w:rPr>
      </w:pPr>
      <w:r w:rsidRPr="00E954B1">
        <w:rPr>
          <w:rFonts w:ascii="Mark Pro" w:eastAsia="HGGothicE" w:hAnsi="Mark Pro" w:cs="Arial"/>
          <w:b/>
          <w:bCs/>
        </w:rPr>
        <w:t>QUESTION 11:</w:t>
      </w:r>
      <w:r w:rsidRPr="00A62C0C">
        <w:rPr>
          <w:rFonts w:ascii="Mark Pro" w:eastAsia="HGGothicE" w:hAnsi="Mark Pro" w:cs="Arial"/>
        </w:rPr>
        <w:t xml:space="preserve"> Do you have views on the proposed requirement that fossil fuel boiler sales data be independently verified by a third-party organisation?</w:t>
      </w:r>
    </w:p>
    <w:p w14:paraId="327BAA0A" w14:textId="1948F337" w:rsidR="00E954B1" w:rsidRPr="00E954B1" w:rsidRDefault="00E954B1" w:rsidP="00426E81">
      <w:pPr>
        <w:pStyle w:val="ListParagraph"/>
        <w:numPr>
          <w:ilvl w:val="0"/>
          <w:numId w:val="14"/>
        </w:numPr>
        <w:spacing w:after="120" w:line="276" w:lineRule="auto"/>
        <w:ind w:left="714" w:hanging="357"/>
        <w:contextualSpacing w:val="0"/>
        <w:rPr>
          <w:rFonts w:ascii="Mark Pro" w:eastAsia="HGGothicE" w:hAnsi="Mark Pro" w:cs="Arial"/>
        </w:rPr>
      </w:pPr>
      <w:r w:rsidRPr="00E954B1">
        <w:rPr>
          <w:rFonts w:ascii="Mark Pro" w:eastAsia="HGGothicE" w:hAnsi="Mark Pro" w:cs="Arial"/>
          <w:b/>
          <w:bCs/>
        </w:rPr>
        <w:t xml:space="preserve">SNIPEF </w:t>
      </w:r>
      <w:r w:rsidR="0055722E">
        <w:rPr>
          <w:rFonts w:ascii="Mark Pro" w:eastAsia="HGGothicE" w:hAnsi="Mark Pro" w:cs="Arial"/>
          <w:b/>
          <w:bCs/>
        </w:rPr>
        <w:t>submission</w:t>
      </w:r>
      <w:r w:rsidRPr="00E954B1">
        <w:rPr>
          <w:rFonts w:ascii="Mark Pro" w:eastAsia="HGGothicE" w:hAnsi="Mark Pro" w:cs="Arial"/>
        </w:rPr>
        <w:t>: SNIPEF understood the need for third-party verification of fossil fuel boiler sales data to ensure fairness and transparency in the mechanism. However, they expressed concerns about the potential costs and whether this might impact product prices and</w:t>
      </w:r>
      <w:r w:rsidR="0055722E">
        <w:rPr>
          <w:rFonts w:ascii="Mark Pro" w:eastAsia="HGGothicE" w:hAnsi="Mark Pro" w:cs="Arial"/>
        </w:rPr>
        <w:t>, ultimately,</w:t>
      </w:r>
      <w:r w:rsidRPr="00E954B1">
        <w:rPr>
          <w:rFonts w:ascii="Mark Pro" w:eastAsia="HGGothicE" w:hAnsi="Mark Pro" w:cs="Arial"/>
        </w:rPr>
        <w:t xml:space="preserve"> the end user.</w:t>
      </w:r>
    </w:p>
    <w:p w14:paraId="4D3720DE" w14:textId="11A6C620" w:rsidR="00E954B1" w:rsidRPr="00E954B1" w:rsidRDefault="00E954B1" w:rsidP="00426E81">
      <w:pPr>
        <w:pStyle w:val="ListParagraph"/>
        <w:numPr>
          <w:ilvl w:val="0"/>
          <w:numId w:val="14"/>
        </w:numPr>
        <w:spacing w:after="120" w:line="276" w:lineRule="auto"/>
        <w:ind w:left="714" w:hanging="357"/>
        <w:contextualSpacing w:val="0"/>
        <w:rPr>
          <w:rFonts w:ascii="Mark Pro" w:eastAsia="HGGothicE" w:hAnsi="Mark Pro" w:cs="Arial"/>
        </w:rPr>
      </w:pPr>
      <w:r w:rsidRPr="00E954B1">
        <w:rPr>
          <w:rFonts w:ascii="Mark Pro" w:eastAsia="HGGothicE" w:hAnsi="Mark Pro" w:cs="Arial"/>
          <w:b/>
          <w:bCs/>
        </w:rPr>
        <w:t xml:space="preserve">Consultation </w:t>
      </w:r>
      <w:r w:rsidR="0055722E">
        <w:rPr>
          <w:rFonts w:ascii="Mark Pro" w:eastAsia="HGGothicE" w:hAnsi="Mark Pro" w:cs="Arial"/>
          <w:b/>
          <w:bCs/>
        </w:rPr>
        <w:t>s</w:t>
      </w:r>
      <w:r w:rsidRPr="00E954B1">
        <w:rPr>
          <w:rFonts w:ascii="Mark Pro" w:eastAsia="HGGothicE" w:hAnsi="Mark Pro" w:cs="Arial"/>
          <w:b/>
          <w:bCs/>
        </w:rPr>
        <w:t>ummary</w:t>
      </w:r>
      <w:r w:rsidRPr="00E954B1">
        <w:rPr>
          <w:rFonts w:ascii="Mark Pro" w:eastAsia="HGGothicE" w:hAnsi="Mark Pro" w:cs="Arial"/>
        </w:rPr>
        <w:t xml:space="preserve">: </w:t>
      </w:r>
      <w:r w:rsidR="0055722E">
        <w:rPr>
          <w:rFonts w:ascii="Mark Pro" w:eastAsia="HGGothicE" w:hAnsi="Mark Pro" w:cs="Arial"/>
        </w:rPr>
        <w:t>Most</w:t>
      </w:r>
      <w:r w:rsidRPr="00E954B1">
        <w:rPr>
          <w:rFonts w:ascii="Mark Pro" w:eastAsia="HGGothicE" w:hAnsi="Mark Pro" w:cs="Arial"/>
        </w:rPr>
        <w:t xml:space="preserve"> respondents (35 out of 53) supported the proposal for independent verification, seeing it as crucial for transparency and fairness. Some sought clarification on its application to both UK and international companies</w:t>
      </w:r>
      <w:r w:rsidR="0055722E">
        <w:rPr>
          <w:rFonts w:ascii="Mark Pro" w:eastAsia="HGGothicE" w:hAnsi="Mark Pro" w:cs="Arial"/>
        </w:rPr>
        <w:t>. Those</w:t>
      </w:r>
      <w:r w:rsidRPr="00E954B1">
        <w:rPr>
          <w:rFonts w:ascii="Mark Pro" w:eastAsia="HGGothicE" w:hAnsi="Mark Pro" w:cs="Arial"/>
        </w:rPr>
        <w:t xml:space="preserve"> against raised concerns about additional costs and administrative burdens.</w:t>
      </w:r>
    </w:p>
    <w:p w14:paraId="23E8DB91" w14:textId="7AED23F7" w:rsidR="00E954B1" w:rsidRPr="00E954B1" w:rsidRDefault="00E954B1" w:rsidP="00426E81">
      <w:pPr>
        <w:pStyle w:val="ListParagraph"/>
        <w:numPr>
          <w:ilvl w:val="0"/>
          <w:numId w:val="14"/>
        </w:numPr>
        <w:spacing w:after="120" w:line="276" w:lineRule="auto"/>
        <w:ind w:left="714" w:hanging="357"/>
        <w:contextualSpacing w:val="0"/>
        <w:rPr>
          <w:rFonts w:ascii="Mark Pro" w:eastAsia="HGGothicE" w:hAnsi="Mark Pro" w:cs="Arial"/>
        </w:rPr>
      </w:pPr>
      <w:r w:rsidRPr="00E954B1">
        <w:rPr>
          <w:rFonts w:ascii="Mark Pro" w:eastAsia="HGGothicE" w:hAnsi="Mark Pro" w:cs="Arial"/>
          <w:b/>
          <w:bCs/>
        </w:rPr>
        <w:t>Government</w:t>
      </w:r>
      <w:r w:rsidR="000E4811">
        <w:rPr>
          <w:rFonts w:ascii="Mark Pro" w:eastAsia="HGGothicE" w:hAnsi="Mark Pro" w:cs="Arial"/>
          <w:b/>
          <w:bCs/>
        </w:rPr>
        <w:t xml:space="preserve"> </w:t>
      </w:r>
      <w:r w:rsidR="0055722E">
        <w:rPr>
          <w:rFonts w:ascii="Mark Pro" w:eastAsia="HGGothicE" w:hAnsi="Mark Pro" w:cs="Arial"/>
          <w:b/>
          <w:bCs/>
        </w:rPr>
        <w:t>r</w:t>
      </w:r>
      <w:r w:rsidRPr="00E954B1">
        <w:rPr>
          <w:rFonts w:ascii="Mark Pro" w:eastAsia="HGGothicE" w:hAnsi="Mark Pro" w:cs="Arial"/>
          <w:b/>
          <w:bCs/>
        </w:rPr>
        <w:t>esponse</w:t>
      </w:r>
      <w:r w:rsidRPr="00E954B1">
        <w:rPr>
          <w:rFonts w:ascii="Mark Pro" w:eastAsia="HGGothicE" w:hAnsi="Mark Pro" w:cs="Arial"/>
        </w:rPr>
        <w:t>: The government agreed with the majority, intending to implement the requirement for annual Boiler Sales Reports to be prepared in line with international assurance standards and independently verified. They acknowledged the importance of fairness, accuracy, and transparency in calculating obligations and chose a standard that aligns with similar schemes.</w:t>
      </w:r>
    </w:p>
    <w:p w14:paraId="138E114A" w14:textId="47A3D324" w:rsidR="00E954B1" w:rsidRPr="00E954B1" w:rsidRDefault="00E954B1" w:rsidP="00426E81">
      <w:pPr>
        <w:spacing w:after="120" w:line="276" w:lineRule="auto"/>
        <w:rPr>
          <w:rFonts w:ascii="Mark Pro" w:eastAsia="HGGothicE" w:hAnsi="Mark Pro" w:cs="Arial"/>
        </w:rPr>
      </w:pPr>
      <w:r w:rsidRPr="00D0211F">
        <w:rPr>
          <w:rFonts w:ascii="Mark Pro" w:eastAsia="HGGothicE" w:hAnsi="Mark Pro" w:cs="Arial"/>
          <w:b/>
          <w:bCs/>
        </w:rPr>
        <w:t xml:space="preserve">Partial </w:t>
      </w:r>
      <w:r w:rsidR="00D0211F" w:rsidRPr="00D0211F">
        <w:rPr>
          <w:rFonts w:ascii="Mark Pro" w:eastAsia="HGGothicE" w:hAnsi="Mark Pro" w:cs="Arial"/>
          <w:b/>
          <w:bCs/>
        </w:rPr>
        <w:t>agreement</w:t>
      </w:r>
      <w:r w:rsidR="0055722E">
        <w:rPr>
          <w:rFonts w:ascii="Mark Pro" w:eastAsia="HGGothicE" w:hAnsi="Mark Pro" w:cs="Arial"/>
          <w:b/>
          <w:bCs/>
        </w:rPr>
        <w:t xml:space="preserve"> with SNIPEF’s submission</w:t>
      </w:r>
    </w:p>
    <w:p w14:paraId="0855632B" w14:textId="5CD6EA2C" w:rsidR="00E954B1" w:rsidRDefault="002E661B" w:rsidP="00426E81">
      <w:pPr>
        <w:spacing w:after="120" w:line="276" w:lineRule="auto"/>
        <w:rPr>
          <w:rFonts w:ascii="Mark Pro" w:eastAsia="HGGothicE" w:hAnsi="Mark Pro" w:cs="Arial"/>
        </w:rPr>
      </w:pPr>
      <w:r w:rsidRPr="002E661B">
        <w:rPr>
          <w:rFonts w:ascii="Mark Pro" w:eastAsia="HGGothicE" w:hAnsi="Mark Pro" w:cs="Arial"/>
          <w:b/>
          <w:bCs/>
        </w:rPr>
        <w:br/>
        <w:t>QUESTION 12:</w:t>
      </w:r>
      <w:r>
        <w:rPr>
          <w:rFonts w:ascii="Mark Pro" w:eastAsia="HGGothicE" w:hAnsi="Mark Pro" w:cs="Arial"/>
        </w:rPr>
        <w:t xml:space="preserve"> </w:t>
      </w:r>
      <w:r w:rsidRPr="002E661B">
        <w:rPr>
          <w:rFonts w:ascii="Mark Pro" w:eastAsia="HGGothicE" w:hAnsi="Mark Pro" w:cs="Arial"/>
        </w:rPr>
        <w:t>Do you have views on the appropriate standards to be applied to any independent verification process, such as ISAE 3000?</w:t>
      </w:r>
    </w:p>
    <w:p w14:paraId="61369FC1" w14:textId="77777777" w:rsidR="002E661B" w:rsidRPr="00BC3D9E" w:rsidRDefault="002E661B"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079B935F" w14:textId="77777777" w:rsidR="002E661B" w:rsidRPr="00BC3D9E" w:rsidRDefault="002E661B"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1A4C3DA5" w14:textId="1A5721E2" w:rsidR="002E661B" w:rsidRPr="002E661B" w:rsidRDefault="002E661B" w:rsidP="00426E81">
      <w:pPr>
        <w:spacing w:after="120" w:line="276" w:lineRule="auto"/>
        <w:rPr>
          <w:rFonts w:ascii="Mark Pro" w:eastAsia="HGGothicE" w:hAnsi="Mark Pro" w:cs="Arial"/>
        </w:rPr>
      </w:pPr>
      <w:r w:rsidRPr="002E661B">
        <w:rPr>
          <w:rFonts w:ascii="Mark Pro" w:eastAsia="HGGothicE" w:hAnsi="Mark Pro" w:cs="Arial"/>
        </w:rPr>
        <w:t xml:space="preserve">Those who indicated support </w:t>
      </w:r>
      <w:r>
        <w:rPr>
          <w:rFonts w:ascii="Mark Pro" w:eastAsia="HGGothicE" w:hAnsi="Mark Pro" w:cs="Arial"/>
        </w:rPr>
        <w:t xml:space="preserve">(13) </w:t>
      </w:r>
      <w:r w:rsidRPr="002E661B">
        <w:rPr>
          <w:rFonts w:ascii="Mark Pro" w:eastAsia="HGGothicE" w:hAnsi="Mark Pro" w:cs="Arial"/>
        </w:rPr>
        <w:t xml:space="preserve">for using ISAE 3000 or an equivalent standard said that doing so would ensure </w:t>
      </w:r>
      <w:r>
        <w:rPr>
          <w:rFonts w:ascii="Mark Pro" w:eastAsia="HGGothicE" w:hAnsi="Mark Pro" w:cs="Arial"/>
        </w:rPr>
        <w:t xml:space="preserve">the </w:t>
      </w:r>
      <w:r w:rsidRPr="002E661B">
        <w:rPr>
          <w:rFonts w:ascii="Mark Pro" w:eastAsia="HGGothicE" w:hAnsi="Mark Pro" w:cs="Arial"/>
        </w:rPr>
        <w:t xml:space="preserve">accuracy and reliability of information and would provide alignment with comparable obligation schemes. They also noted </w:t>
      </w:r>
      <w:r>
        <w:rPr>
          <w:rFonts w:ascii="Mark Pro" w:eastAsia="HGGothicE" w:hAnsi="Mark Pro" w:cs="Arial"/>
        </w:rPr>
        <w:t xml:space="preserve">that </w:t>
      </w:r>
      <w:r w:rsidRPr="002E661B">
        <w:rPr>
          <w:rFonts w:ascii="Mark Pro" w:eastAsia="HGGothicE" w:hAnsi="Mark Pro" w:cs="Arial"/>
        </w:rPr>
        <w:t>ISAE 3000 is a well-established and internationally recognised standard.</w:t>
      </w:r>
    </w:p>
    <w:p w14:paraId="45DFC793" w14:textId="0F1BB869" w:rsidR="002E661B" w:rsidRDefault="002E661B" w:rsidP="00426E81">
      <w:pPr>
        <w:spacing w:after="120" w:line="276" w:lineRule="auto"/>
        <w:rPr>
          <w:rFonts w:ascii="Mark Pro" w:eastAsia="HGGothicE" w:hAnsi="Mark Pro" w:cs="Arial"/>
        </w:rPr>
      </w:pPr>
      <w:r w:rsidRPr="002E661B">
        <w:rPr>
          <w:rFonts w:ascii="Mark Pro" w:eastAsia="HGGothicE" w:hAnsi="Mark Pro" w:cs="Arial"/>
        </w:rPr>
        <w:t>Those who disagreed</w:t>
      </w:r>
      <w:r>
        <w:rPr>
          <w:rFonts w:ascii="Mark Pro" w:eastAsia="HGGothicE" w:hAnsi="Mark Pro" w:cs="Arial"/>
        </w:rPr>
        <w:t xml:space="preserve"> (4)</w:t>
      </w:r>
      <w:r w:rsidRPr="002E661B">
        <w:rPr>
          <w:rFonts w:ascii="Mark Pro" w:eastAsia="HGGothicE" w:hAnsi="Mark Pro" w:cs="Arial"/>
        </w:rPr>
        <w:t xml:space="preserve"> with the proposal said that independent verification was </w:t>
      </w:r>
      <w:r w:rsidR="0055722E">
        <w:rPr>
          <w:rFonts w:ascii="Mark Pro" w:eastAsia="HGGothicE" w:hAnsi="Mark Pro" w:cs="Arial"/>
        </w:rPr>
        <w:t>unnecessary,</w:t>
      </w:r>
      <w:r w:rsidRPr="002E661B">
        <w:rPr>
          <w:rFonts w:ascii="Mark Pro" w:eastAsia="HGGothicE" w:hAnsi="Mark Pro" w:cs="Arial"/>
        </w:rPr>
        <w:t xml:space="preserve"> would increase administrative burden, or suggested certification of boiler installations as an alternative.</w:t>
      </w:r>
    </w:p>
    <w:p w14:paraId="32ABB6D5" w14:textId="28053F13" w:rsidR="002E661B" w:rsidRPr="002E661B" w:rsidRDefault="002E661B" w:rsidP="00426E81">
      <w:pPr>
        <w:spacing w:after="120" w:line="276" w:lineRule="auto"/>
        <w:rPr>
          <w:rFonts w:ascii="Mark Pro" w:eastAsia="HGGothicE" w:hAnsi="Mark Pro" w:cs="Arial"/>
          <w:u w:val="single"/>
        </w:rPr>
      </w:pPr>
      <w:r w:rsidRPr="002E661B">
        <w:rPr>
          <w:rFonts w:ascii="Mark Pro" w:eastAsia="HGGothicE" w:hAnsi="Mark Pro" w:cs="Arial"/>
          <w:u w:val="single"/>
        </w:rPr>
        <w:t>Government response</w:t>
      </w:r>
    </w:p>
    <w:p w14:paraId="6C519032" w14:textId="496046FE" w:rsidR="002E661B" w:rsidRDefault="002E661B" w:rsidP="00426E81">
      <w:pPr>
        <w:spacing w:after="120" w:line="276" w:lineRule="auto"/>
        <w:rPr>
          <w:rFonts w:ascii="Mark Pro" w:eastAsia="HGGothicE" w:hAnsi="Mark Pro" w:cs="Arial"/>
        </w:rPr>
      </w:pPr>
      <w:r w:rsidRPr="002E661B">
        <w:rPr>
          <w:rFonts w:ascii="Mark Pro" w:eastAsia="HGGothicE" w:hAnsi="Mark Pro" w:cs="Arial"/>
        </w:rPr>
        <w:t xml:space="preserve">The government intends to </w:t>
      </w:r>
      <w:r w:rsidR="0055722E">
        <w:rPr>
          <w:rFonts w:ascii="Mark Pro" w:eastAsia="HGGothicE" w:hAnsi="Mark Pro" w:cs="Arial"/>
        </w:rPr>
        <w:t>implement</w:t>
      </w:r>
      <w:r w:rsidRPr="002E661B">
        <w:rPr>
          <w:rFonts w:ascii="Mark Pro" w:eastAsia="HGGothicE" w:hAnsi="Mark Pro" w:cs="Arial"/>
        </w:rPr>
        <w:t xml:space="preserve"> the requirement that annual Boiler Sales Reports be prepared in line with the relevant International Standard on Assurance Engagements, ISAE 3000, or an equivalent standard for assurance processes. As noted by several respondents, this would align with comparable obligation schemes, such as the Emissions Trading Scheme (ETS) and Renewable Transport Fuel Obligation (RTFO).</w:t>
      </w:r>
    </w:p>
    <w:p w14:paraId="1616B056" w14:textId="77777777" w:rsidR="002E661B" w:rsidRPr="00A62C0C" w:rsidRDefault="002E661B" w:rsidP="00426E81">
      <w:pPr>
        <w:spacing w:after="120" w:line="276" w:lineRule="auto"/>
        <w:rPr>
          <w:rFonts w:ascii="Mark Pro" w:eastAsia="HGGothicE" w:hAnsi="Mark Pro" w:cs="Arial"/>
        </w:rPr>
      </w:pPr>
    </w:p>
    <w:p w14:paraId="2AF7EA1A" w14:textId="0D905DBC" w:rsidR="00A62C0C" w:rsidRPr="00A62C0C" w:rsidRDefault="00A62C0C" w:rsidP="00426E81">
      <w:pPr>
        <w:spacing w:after="120" w:line="276" w:lineRule="auto"/>
        <w:rPr>
          <w:rFonts w:ascii="Mark Pro" w:eastAsia="HGGothicE" w:hAnsi="Mark Pro" w:cs="Arial"/>
        </w:rPr>
      </w:pPr>
      <w:r w:rsidRPr="00E954B1">
        <w:rPr>
          <w:rFonts w:ascii="Mark Pro" w:eastAsia="HGGothicE" w:hAnsi="Mark Pro" w:cs="Arial"/>
          <w:b/>
          <w:bCs/>
        </w:rPr>
        <w:t>QUESTION 13</w:t>
      </w:r>
      <w:r w:rsidRPr="00A62C0C">
        <w:rPr>
          <w:rFonts w:ascii="Mark Pro" w:eastAsia="HGGothicE" w:hAnsi="Mark Pro" w:cs="Arial"/>
        </w:rPr>
        <w:t>: Do you agree with the proposal to require installations to be notified via an appropriate certification scheme (ie. MCS or equivalent) to generate credits under the scheme?</w:t>
      </w:r>
    </w:p>
    <w:p w14:paraId="64544E91" w14:textId="1C22FC97" w:rsidR="008A5DB1" w:rsidRPr="00D0211F" w:rsidRDefault="008A5DB1" w:rsidP="00426E81">
      <w:pPr>
        <w:pStyle w:val="ListParagraph"/>
        <w:numPr>
          <w:ilvl w:val="0"/>
          <w:numId w:val="17"/>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SNIPEF </w:t>
      </w:r>
      <w:r w:rsidR="0055722E">
        <w:rPr>
          <w:rFonts w:ascii="Mark Pro" w:eastAsia="HGGothicE" w:hAnsi="Mark Pro" w:cs="Arial"/>
          <w:b/>
          <w:bCs/>
        </w:rPr>
        <w:t>submission</w:t>
      </w:r>
      <w:r w:rsidRPr="00D0211F">
        <w:rPr>
          <w:rFonts w:ascii="Mark Pro" w:eastAsia="HGGothicE" w:hAnsi="Mark Pro" w:cs="Arial"/>
        </w:rPr>
        <w:t xml:space="preserve">: SNIPEF agreed with the proposal to require installations to be notified via an appropriate certification scheme (like MCS or equivalent) to generate credits under the scheme. They believed this would ensure that </w:t>
      </w:r>
      <w:r w:rsidR="0055722E">
        <w:rPr>
          <w:rFonts w:ascii="Mark Pro" w:eastAsia="HGGothicE" w:hAnsi="Mark Pro" w:cs="Arial"/>
        </w:rPr>
        <w:t>qualified installers do installations</w:t>
      </w:r>
      <w:r w:rsidRPr="00D0211F">
        <w:rPr>
          <w:rFonts w:ascii="Mark Pro" w:eastAsia="HGGothicE" w:hAnsi="Mark Pro" w:cs="Arial"/>
        </w:rPr>
        <w:t>, as discrepancies between sales and notifications could highlight unqualified installations.</w:t>
      </w:r>
    </w:p>
    <w:p w14:paraId="4F137441" w14:textId="5A11C86B" w:rsidR="008A5DB1" w:rsidRPr="00D0211F" w:rsidRDefault="008A5DB1" w:rsidP="00426E81">
      <w:pPr>
        <w:pStyle w:val="ListParagraph"/>
        <w:numPr>
          <w:ilvl w:val="0"/>
          <w:numId w:val="17"/>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Consultation </w:t>
      </w:r>
      <w:r w:rsidR="0055722E">
        <w:rPr>
          <w:rFonts w:ascii="Mark Pro" w:eastAsia="HGGothicE" w:hAnsi="Mark Pro" w:cs="Arial"/>
          <w:b/>
          <w:bCs/>
        </w:rPr>
        <w:t>s</w:t>
      </w:r>
      <w:r w:rsidRPr="00D0211F">
        <w:rPr>
          <w:rFonts w:ascii="Mark Pro" w:eastAsia="HGGothicE" w:hAnsi="Mark Pro" w:cs="Arial"/>
          <w:b/>
          <w:bCs/>
        </w:rPr>
        <w:t>ummary</w:t>
      </w:r>
      <w:r w:rsidRPr="00D0211F">
        <w:rPr>
          <w:rFonts w:ascii="Mark Pro" w:eastAsia="HGGothicE" w:hAnsi="Mark Pro" w:cs="Arial"/>
        </w:rPr>
        <w:t xml:space="preserve">: A slim majority (34 out of 61) </w:t>
      </w:r>
      <w:r w:rsidR="0055722E">
        <w:rPr>
          <w:rFonts w:ascii="Mark Pro" w:eastAsia="HGGothicE" w:hAnsi="Mark Pro" w:cs="Arial"/>
        </w:rPr>
        <w:t>favoured</w:t>
      </w:r>
      <w:r w:rsidRPr="00D0211F">
        <w:rPr>
          <w:rFonts w:ascii="Mark Pro" w:eastAsia="HGGothicE" w:hAnsi="Mark Pro" w:cs="Arial"/>
        </w:rPr>
        <w:t xml:space="preserve"> the proposal, citing quality standards and consumer protection benefits. Those who disagreed (22 respondents) preferred credits based on manufacturer sales rather than certified installations, arguing that MCS data might not fully cover the UK heat pump market. Some suggested alternatives to MCS for certification.</w:t>
      </w:r>
    </w:p>
    <w:p w14:paraId="4B95BF29" w14:textId="29B37776" w:rsidR="0055722E" w:rsidRDefault="008A5DB1" w:rsidP="00426E81">
      <w:pPr>
        <w:pStyle w:val="ListParagraph"/>
        <w:numPr>
          <w:ilvl w:val="0"/>
          <w:numId w:val="17"/>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Government </w:t>
      </w:r>
      <w:r w:rsidR="0055722E">
        <w:rPr>
          <w:rFonts w:ascii="Mark Pro" w:eastAsia="HGGothicE" w:hAnsi="Mark Pro" w:cs="Arial"/>
          <w:b/>
          <w:bCs/>
        </w:rPr>
        <w:t>r</w:t>
      </w:r>
      <w:r w:rsidRPr="00D0211F">
        <w:rPr>
          <w:rFonts w:ascii="Mark Pro" w:eastAsia="HGGothicE" w:hAnsi="Mark Pro" w:cs="Arial"/>
          <w:b/>
          <w:bCs/>
        </w:rPr>
        <w:t>esponse</w:t>
      </w:r>
      <w:r w:rsidRPr="00D0211F">
        <w:rPr>
          <w:rFonts w:ascii="Mark Pro" w:eastAsia="HGGothicE" w:hAnsi="Mark Pro" w:cs="Arial"/>
        </w:rPr>
        <w:t xml:space="preserve">: The government </w:t>
      </w:r>
      <w:r w:rsidR="0055722E">
        <w:rPr>
          <w:rFonts w:ascii="Mark Pro" w:eastAsia="HGGothicE" w:hAnsi="Mark Pro" w:cs="Arial"/>
        </w:rPr>
        <w:t xml:space="preserve">has </w:t>
      </w:r>
      <w:r w:rsidRPr="00D0211F">
        <w:rPr>
          <w:rFonts w:ascii="Mark Pro" w:eastAsia="HGGothicE" w:hAnsi="Mark Pro" w:cs="Arial"/>
        </w:rPr>
        <w:t xml:space="preserve">decided to require heat pump installations to be notified by a certification scheme to generate credits, aligning with the majority. This decision </w:t>
      </w:r>
      <w:r w:rsidR="0055722E">
        <w:rPr>
          <w:rFonts w:ascii="Mark Pro" w:eastAsia="HGGothicE" w:hAnsi="Mark Pro" w:cs="Arial"/>
        </w:rPr>
        <w:t>aims to ensure</w:t>
      </w:r>
      <w:r w:rsidRPr="00D0211F">
        <w:rPr>
          <w:rFonts w:ascii="Mark Pro" w:eastAsia="HGGothicE" w:hAnsi="Mark Pro" w:cs="Arial"/>
        </w:rPr>
        <w:t xml:space="preserve"> quality and compliance with qualifying criteria, addressing risks of heat pumps being exported or counted multiple times. </w:t>
      </w:r>
    </w:p>
    <w:p w14:paraId="4AE0CBBC" w14:textId="7EC07BA3" w:rsidR="008A5DB1" w:rsidRPr="00D0211F" w:rsidRDefault="008A5DB1" w:rsidP="0055722E">
      <w:pPr>
        <w:pStyle w:val="ListParagraph"/>
        <w:spacing w:after="120" w:line="276" w:lineRule="auto"/>
        <w:ind w:left="714"/>
        <w:contextualSpacing w:val="0"/>
        <w:rPr>
          <w:rFonts w:ascii="Mark Pro" w:eastAsia="HGGothicE" w:hAnsi="Mark Pro" w:cs="Arial"/>
        </w:rPr>
      </w:pPr>
      <w:r w:rsidRPr="00D0211F">
        <w:rPr>
          <w:rFonts w:ascii="Mark Pro" w:eastAsia="HGGothicE" w:hAnsi="Mark Pro" w:cs="Arial"/>
        </w:rPr>
        <w:t xml:space="preserve">The government </w:t>
      </w:r>
      <w:r w:rsidR="0055722E">
        <w:rPr>
          <w:rFonts w:ascii="Mark Pro" w:eastAsia="HGGothicE" w:hAnsi="Mark Pro" w:cs="Arial"/>
        </w:rPr>
        <w:t>recognised</w:t>
      </w:r>
      <w:r w:rsidRPr="00D0211F">
        <w:rPr>
          <w:rFonts w:ascii="Mark Pro" w:eastAsia="HGGothicE" w:hAnsi="Mark Pro" w:cs="Arial"/>
        </w:rPr>
        <w:t xml:space="preserve"> the polari</w:t>
      </w:r>
      <w:r w:rsidR="000E4811">
        <w:rPr>
          <w:rFonts w:ascii="Mark Pro" w:eastAsia="HGGothicE" w:hAnsi="Mark Pro" w:cs="Arial"/>
        </w:rPr>
        <w:t>s</w:t>
      </w:r>
      <w:r w:rsidRPr="00D0211F">
        <w:rPr>
          <w:rFonts w:ascii="Mark Pro" w:eastAsia="HGGothicE" w:hAnsi="Mark Pro" w:cs="Arial"/>
        </w:rPr>
        <w:t xml:space="preserve">ing nature of this requirement but </w:t>
      </w:r>
      <w:r w:rsidR="0055722E">
        <w:rPr>
          <w:rFonts w:ascii="Mark Pro" w:eastAsia="HGGothicE" w:hAnsi="Mark Pro" w:cs="Arial"/>
        </w:rPr>
        <w:t>emphasised</w:t>
      </w:r>
      <w:r w:rsidRPr="00D0211F">
        <w:rPr>
          <w:rFonts w:ascii="Mark Pro" w:eastAsia="HGGothicE" w:hAnsi="Mark Pro" w:cs="Arial"/>
        </w:rPr>
        <w:t xml:space="preserve"> its focus on installations meeting specific criteria rather than all heat pump sales.</w:t>
      </w:r>
    </w:p>
    <w:p w14:paraId="4788E6E0" w14:textId="0AD8D3C7" w:rsidR="008A5DB1" w:rsidRPr="008A5DB1" w:rsidRDefault="00D0211F" w:rsidP="00426E81">
      <w:pPr>
        <w:spacing w:after="120" w:line="276" w:lineRule="auto"/>
        <w:rPr>
          <w:rFonts w:ascii="Mark Pro" w:eastAsia="HGGothicE" w:hAnsi="Mark Pro" w:cs="Arial"/>
        </w:rPr>
      </w:pPr>
      <w:r w:rsidRPr="00D0211F">
        <w:rPr>
          <w:rFonts w:ascii="Mark Pro" w:eastAsia="HGGothicE" w:hAnsi="Mark Pro" w:cs="Arial"/>
          <w:b/>
          <w:bCs/>
        </w:rPr>
        <w:t>Agreement</w:t>
      </w:r>
      <w:r w:rsidR="0055722E">
        <w:rPr>
          <w:rFonts w:ascii="Mark Pro" w:eastAsia="HGGothicE" w:hAnsi="Mark Pro" w:cs="Arial"/>
          <w:b/>
          <w:bCs/>
        </w:rPr>
        <w:t xml:space="preserve"> with SNIPEF’s submission</w:t>
      </w:r>
    </w:p>
    <w:p w14:paraId="4DE6D05A" w14:textId="77777777" w:rsidR="0055722E" w:rsidRDefault="0055722E" w:rsidP="00426E81">
      <w:pPr>
        <w:spacing w:after="120" w:line="276" w:lineRule="auto"/>
        <w:rPr>
          <w:rFonts w:ascii="Mark Pro" w:eastAsia="HGGothicE" w:hAnsi="Mark Pro" w:cs="Arial"/>
          <w:b/>
          <w:bCs/>
        </w:rPr>
      </w:pPr>
    </w:p>
    <w:p w14:paraId="2E079719" w14:textId="658EF020" w:rsidR="00A62C0C" w:rsidRPr="00A62C0C" w:rsidRDefault="00A62C0C" w:rsidP="00426E81">
      <w:pPr>
        <w:spacing w:after="120" w:line="276" w:lineRule="auto"/>
        <w:rPr>
          <w:rFonts w:ascii="Mark Pro" w:eastAsia="HGGothicE" w:hAnsi="Mark Pro" w:cs="Arial"/>
        </w:rPr>
      </w:pPr>
      <w:r w:rsidRPr="00E954B1">
        <w:rPr>
          <w:rFonts w:ascii="Mark Pro" w:eastAsia="HGGothicE" w:hAnsi="Mark Pro" w:cs="Arial"/>
          <w:b/>
          <w:bCs/>
        </w:rPr>
        <w:t>QUESTION 14</w:t>
      </w:r>
      <w:r w:rsidRPr="00A62C0C">
        <w:rPr>
          <w:rFonts w:ascii="Mark Pro" w:eastAsia="HGGothicE" w:hAnsi="Mark Pro" w:cs="Arial"/>
        </w:rPr>
        <w:t>: Do you agree with the criteria set out above on the requirements of an appropriate certification scheme (ie. MCS or equivalent) to be deemed suitable to generate credits towards the CHMM?</w:t>
      </w:r>
    </w:p>
    <w:p w14:paraId="674DB948" w14:textId="19B5C2F4" w:rsidR="00D0211F" w:rsidRPr="000E4811" w:rsidRDefault="00D0211F" w:rsidP="000E4811">
      <w:pPr>
        <w:pStyle w:val="ListParagraph"/>
        <w:numPr>
          <w:ilvl w:val="0"/>
          <w:numId w:val="18"/>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SNIPEF</w:t>
      </w:r>
      <w:r w:rsidRPr="000E4811">
        <w:rPr>
          <w:rFonts w:ascii="Mark Pro" w:eastAsia="HGGothicE" w:hAnsi="Mark Pro" w:cs="Arial"/>
          <w:b/>
          <w:bCs/>
        </w:rPr>
        <w:t xml:space="preserve"> </w:t>
      </w:r>
      <w:r w:rsidR="0055722E" w:rsidRPr="000E4811">
        <w:rPr>
          <w:rFonts w:ascii="Mark Pro" w:eastAsia="HGGothicE" w:hAnsi="Mark Pro" w:cs="Arial"/>
          <w:b/>
          <w:bCs/>
        </w:rPr>
        <w:t>submission</w:t>
      </w:r>
      <w:r w:rsidRPr="000E4811">
        <w:rPr>
          <w:rFonts w:ascii="Mark Pro" w:eastAsia="HGGothicE" w:hAnsi="Mark Pro" w:cs="Arial"/>
        </w:rPr>
        <w:t>: SNIPEF agreed with the criteria for an appropriate certification scheme but raised concerns about the cost of running such schemes and the potential impact on end users.</w:t>
      </w:r>
    </w:p>
    <w:p w14:paraId="79E13CF1" w14:textId="7F4930C0" w:rsidR="00D0211F" w:rsidRDefault="00D0211F" w:rsidP="00426E81">
      <w:pPr>
        <w:pStyle w:val="ListParagraph"/>
        <w:numPr>
          <w:ilvl w:val="0"/>
          <w:numId w:val="18"/>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Consultation </w:t>
      </w:r>
      <w:r w:rsidR="0055722E">
        <w:rPr>
          <w:rFonts w:ascii="Mark Pro" w:eastAsia="HGGothicE" w:hAnsi="Mark Pro" w:cs="Arial"/>
          <w:b/>
          <w:bCs/>
        </w:rPr>
        <w:t>s</w:t>
      </w:r>
      <w:r w:rsidRPr="00D0211F">
        <w:rPr>
          <w:rFonts w:ascii="Mark Pro" w:eastAsia="HGGothicE" w:hAnsi="Mark Pro" w:cs="Arial"/>
          <w:b/>
          <w:bCs/>
        </w:rPr>
        <w:t>ummary</w:t>
      </w:r>
      <w:r w:rsidRPr="00D0211F">
        <w:rPr>
          <w:rFonts w:ascii="Mark Pro" w:eastAsia="HGGothicE" w:hAnsi="Mark Pro" w:cs="Arial"/>
        </w:rPr>
        <w:t xml:space="preserve">: The majority (34 out of 57) agreed with the proposed criteria, </w:t>
      </w:r>
      <w:r w:rsidR="0055722E">
        <w:rPr>
          <w:rFonts w:ascii="Mark Pro" w:eastAsia="HGGothicE" w:hAnsi="Mark Pro" w:cs="Arial"/>
        </w:rPr>
        <w:t>emphasising</w:t>
      </w:r>
      <w:r w:rsidRPr="00D0211F">
        <w:rPr>
          <w:rFonts w:ascii="Mark Pro" w:eastAsia="HGGothicE" w:hAnsi="Mark Pro" w:cs="Arial"/>
        </w:rPr>
        <w:t xml:space="preserve"> the importance of consumer protection and quality installations. Those who disagreed (19 respondents) were mainly concerned about underreporting if MCS certification is required. Suggestions were made for multiple bodies to be deemed appropriate for certification.</w:t>
      </w:r>
    </w:p>
    <w:p w14:paraId="35E038F3" w14:textId="1C8F76A4" w:rsidR="0055722E" w:rsidRDefault="0055722E" w:rsidP="0055722E">
      <w:pPr>
        <w:spacing w:after="120" w:line="276" w:lineRule="auto"/>
        <w:rPr>
          <w:rFonts w:ascii="Mark Pro" w:eastAsia="HGGothicE" w:hAnsi="Mark Pro" w:cs="Arial"/>
        </w:rPr>
      </w:pPr>
    </w:p>
    <w:p w14:paraId="46C73A1C" w14:textId="640D176A" w:rsidR="0055722E" w:rsidRDefault="0055722E" w:rsidP="0055722E">
      <w:pPr>
        <w:spacing w:after="120" w:line="276" w:lineRule="auto"/>
        <w:rPr>
          <w:rFonts w:ascii="Mark Pro" w:eastAsia="HGGothicE" w:hAnsi="Mark Pro" w:cs="Arial"/>
        </w:rPr>
      </w:pPr>
    </w:p>
    <w:p w14:paraId="65483624" w14:textId="77777777" w:rsidR="0055722E" w:rsidRPr="0055722E" w:rsidRDefault="0055722E" w:rsidP="0055722E">
      <w:pPr>
        <w:spacing w:after="120" w:line="276" w:lineRule="auto"/>
        <w:rPr>
          <w:rFonts w:ascii="Mark Pro" w:eastAsia="HGGothicE" w:hAnsi="Mark Pro" w:cs="Arial"/>
        </w:rPr>
      </w:pPr>
    </w:p>
    <w:p w14:paraId="4A25CF58" w14:textId="6E3725F1" w:rsidR="00D0211F" w:rsidRPr="00D0211F" w:rsidRDefault="00D0211F" w:rsidP="00426E81">
      <w:pPr>
        <w:pStyle w:val="ListParagraph"/>
        <w:numPr>
          <w:ilvl w:val="0"/>
          <w:numId w:val="18"/>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Government </w:t>
      </w:r>
      <w:r w:rsidR="0055722E">
        <w:rPr>
          <w:rFonts w:ascii="Mark Pro" w:eastAsia="HGGothicE" w:hAnsi="Mark Pro" w:cs="Arial"/>
          <w:b/>
          <w:bCs/>
        </w:rPr>
        <w:t>r</w:t>
      </w:r>
      <w:r w:rsidRPr="00D0211F">
        <w:rPr>
          <w:rFonts w:ascii="Mark Pro" w:eastAsia="HGGothicE" w:hAnsi="Mark Pro" w:cs="Arial"/>
          <w:b/>
          <w:bCs/>
        </w:rPr>
        <w:t>esponse</w:t>
      </w:r>
      <w:r w:rsidRPr="00D0211F">
        <w:rPr>
          <w:rFonts w:ascii="Mark Pro" w:eastAsia="HGGothicE" w:hAnsi="Mark Pro" w:cs="Arial"/>
        </w:rPr>
        <w:t>: The government will require notification by an appropriate certification scheme to generate credits, ensuring only qualifying installations are credited. They acknowledged the polari</w:t>
      </w:r>
      <w:r w:rsidR="0055722E">
        <w:rPr>
          <w:rFonts w:ascii="Mark Pro" w:eastAsia="HGGothicE" w:hAnsi="Mark Pro" w:cs="Arial"/>
        </w:rPr>
        <w:t>s</w:t>
      </w:r>
      <w:r w:rsidRPr="00D0211F">
        <w:rPr>
          <w:rFonts w:ascii="Mark Pro" w:eastAsia="HGGothicE" w:hAnsi="Mark Pro" w:cs="Arial"/>
        </w:rPr>
        <w:t xml:space="preserve">ing nature of this requirement and the concerns about underreporting but </w:t>
      </w:r>
      <w:r w:rsidR="0055722E">
        <w:rPr>
          <w:rFonts w:ascii="Mark Pro" w:eastAsia="HGGothicE" w:hAnsi="Mark Pro" w:cs="Arial"/>
        </w:rPr>
        <w:t>emphasised</w:t>
      </w:r>
      <w:r w:rsidRPr="00D0211F">
        <w:rPr>
          <w:rFonts w:ascii="Mark Pro" w:eastAsia="HGGothicE" w:hAnsi="Mark Pro" w:cs="Arial"/>
        </w:rPr>
        <w:t xml:space="preserve"> the scheme's focus on installations meeting specific criteria. The government agreed on the need for clear criteria for certification schemes, though initially, MCS is likely the only scheme to achieve CHMM certification.</w:t>
      </w:r>
    </w:p>
    <w:p w14:paraId="66BB3D5D" w14:textId="184B374B" w:rsidR="00D0211F" w:rsidRPr="0055722E" w:rsidRDefault="00D0211F" w:rsidP="00426E81">
      <w:pPr>
        <w:spacing w:after="120" w:line="276" w:lineRule="auto"/>
        <w:rPr>
          <w:rFonts w:ascii="Mark Pro" w:eastAsia="HGGothicE" w:hAnsi="Mark Pro" w:cs="Arial"/>
        </w:rPr>
      </w:pPr>
      <w:r w:rsidRPr="00D0211F">
        <w:rPr>
          <w:rFonts w:ascii="Mark Pro" w:eastAsia="HGGothicE" w:hAnsi="Mark Pro" w:cs="Arial"/>
          <w:b/>
          <w:bCs/>
        </w:rPr>
        <w:t>Partial agreement</w:t>
      </w:r>
      <w:r w:rsidR="0055722E">
        <w:rPr>
          <w:rFonts w:ascii="Mark Pro" w:eastAsia="HGGothicE" w:hAnsi="Mark Pro" w:cs="Arial"/>
          <w:b/>
          <w:bCs/>
        </w:rPr>
        <w:t xml:space="preserve"> with SNIPEF’s submission </w:t>
      </w:r>
      <w:r w:rsidR="0055722E" w:rsidRPr="0055722E">
        <w:rPr>
          <w:rFonts w:ascii="Mark Pro" w:eastAsia="HGGothicE" w:hAnsi="Mark Pro" w:cs="Arial"/>
        </w:rPr>
        <w:t>(cost implications not addressed)</w:t>
      </w:r>
    </w:p>
    <w:p w14:paraId="0EC1BC0E" w14:textId="492989CD" w:rsidR="00D0211F" w:rsidRDefault="00D0211F" w:rsidP="00426E81">
      <w:pPr>
        <w:spacing w:after="120" w:line="276" w:lineRule="auto"/>
        <w:rPr>
          <w:rFonts w:ascii="Mark Pro" w:eastAsia="HGGothicE" w:hAnsi="Mark Pro" w:cs="Arial"/>
        </w:rPr>
      </w:pPr>
    </w:p>
    <w:p w14:paraId="59986A1E" w14:textId="684FBEE3" w:rsidR="00886CB8" w:rsidRDefault="00886CB8" w:rsidP="00426E81">
      <w:pPr>
        <w:spacing w:after="120" w:line="276" w:lineRule="auto"/>
        <w:rPr>
          <w:rFonts w:ascii="Mark Pro" w:eastAsia="HGGothicE" w:hAnsi="Mark Pro" w:cs="Arial"/>
        </w:rPr>
      </w:pPr>
      <w:r w:rsidRPr="00886CB8">
        <w:rPr>
          <w:rFonts w:ascii="Mark Pro" w:eastAsia="HGGothicE" w:hAnsi="Mark Pro" w:cs="Arial"/>
          <w:b/>
          <w:bCs/>
        </w:rPr>
        <w:t>QUESTION 15:</w:t>
      </w:r>
      <w:r>
        <w:rPr>
          <w:rFonts w:ascii="Mark Pro" w:eastAsia="HGGothicE" w:hAnsi="Mark Pro" w:cs="Arial"/>
        </w:rPr>
        <w:t xml:space="preserve"> </w:t>
      </w:r>
      <w:r w:rsidRPr="00886CB8">
        <w:rPr>
          <w:rFonts w:ascii="Mark Pro" w:eastAsia="HGGothicE" w:hAnsi="Mark Pro" w:cs="Arial"/>
        </w:rPr>
        <w:t>Do you have views on the proposed digital system, including any other functionalities or users we should consider in its design?</w:t>
      </w:r>
    </w:p>
    <w:p w14:paraId="7FC27200" w14:textId="77777777" w:rsidR="00886CB8" w:rsidRPr="00BC3D9E" w:rsidRDefault="00886CB8"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619C6076" w14:textId="77777777" w:rsidR="00886CB8" w:rsidRPr="00BC3D9E" w:rsidRDefault="00886CB8"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5BBC0A47" w14:textId="61F9762C" w:rsidR="00886CB8" w:rsidRPr="00886CB8" w:rsidRDefault="00886CB8" w:rsidP="00426E81">
      <w:pPr>
        <w:spacing w:after="120" w:line="276" w:lineRule="auto"/>
        <w:rPr>
          <w:rFonts w:ascii="Mark Pro" w:eastAsia="HGGothicE" w:hAnsi="Mark Pro" w:cs="Arial"/>
        </w:rPr>
      </w:pPr>
      <w:r w:rsidRPr="00886CB8">
        <w:rPr>
          <w:rFonts w:ascii="Mark Pro" w:eastAsia="HGGothicE" w:hAnsi="Mark Pro" w:cs="Arial"/>
        </w:rPr>
        <w:t xml:space="preserve">Responses were varied, but several (11) related to data entry, especially the security of data </w:t>
      </w:r>
      <w:proofErr w:type="gramStart"/>
      <w:r w:rsidR="0055722E" w:rsidRPr="00886CB8">
        <w:rPr>
          <w:rFonts w:ascii="Mark Pro" w:eastAsia="HGGothicE" w:hAnsi="Mark Pro" w:cs="Arial"/>
        </w:rPr>
        <w:t>entered</w:t>
      </w:r>
      <w:r w:rsidRPr="00886CB8">
        <w:rPr>
          <w:rFonts w:ascii="Mark Pro" w:eastAsia="HGGothicE" w:hAnsi="Mark Pro" w:cs="Arial"/>
        </w:rPr>
        <w:t xml:space="preserve"> </w:t>
      </w:r>
      <w:r w:rsidR="0055722E">
        <w:rPr>
          <w:rFonts w:ascii="Mark Pro" w:eastAsia="HGGothicE" w:hAnsi="Mark Pro" w:cs="Arial"/>
        </w:rPr>
        <w:t>into</w:t>
      </w:r>
      <w:proofErr w:type="gramEnd"/>
      <w:r w:rsidR="0055722E">
        <w:rPr>
          <w:rFonts w:ascii="Mark Pro" w:eastAsia="HGGothicE" w:hAnsi="Mark Pro" w:cs="Arial"/>
        </w:rPr>
        <w:t xml:space="preserve"> </w:t>
      </w:r>
      <w:r w:rsidRPr="00886CB8">
        <w:rPr>
          <w:rFonts w:ascii="Mark Pro" w:eastAsia="HGGothicE" w:hAnsi="Mark Pro" w:cs="Arial"/>
        </w:rPr>
        <w:t>the system and any cost to an obligated party in uploading boiler sales data. There was also some interest in understanding how credit-trading will work and, from a few, a desire for an on-system credit-trading facility.</w:t>
      </w:r>
    </w:p>
    <w:p w14:paraId="7AA0FD3D" w14:textId="3A376E18" w:rsidR="00886CB8" w:rsidRDefault="00886CB8" w:rsidP="00426E81">
      <w:pPr>
        <w:spacing w:after="120" w:line="276" w:lineRule="auto"/>
        <w:rPr>
          <w:rFonts w:ascii="Mark Pro" w:eastAsia="HGGothicE" w:hAnsi="Mark Pro" w:cs="Arial"/>
        </w:rPr>
      </w:pPr>
      <w:r w:rsidRPr="00886CB8">
        <w:rPr>
          <w:rFonts w:ascii="Mark Pro" w:eastAsia="HGGothicE" w:hAnsi="Mark Pro" w:cs="Arial"/>
        </w:rPr>
        <w:t xml:space="preserve">Some respondents (16) expressed a view on the digital design, </w:t>
      </w:r>
      <w:r>
        <w:rPr>
          <w:rFonts w:ascii="Mark Pro" w:eastAsia="HGGothicE" w:hAnsi="Mark Pro" w:cs="Arial"/>
        </w:rPr>
        <w:t>mainly</w:t>
      </w:r>
      <w:r w:rsidRPr="00886CB8">
        <w:rPr>
          <w:rFonts w:ascii="Mark Pro" w:eastAsia="HGGothicE" w:hAnsi="Mark Pro" w:cs="Arial"/>
        </w:rPr>
        <w:t xml:space="preserve"> that the product should be simple, easy to use, flexible/design-agnostic, and integrated with existing systems; that user testing is </w:t>
      </w:r>
      <w:r>
        <w:rPr>
          <w:rFonts w:ascii="Mark Pro" w:eastAsia="HGGothicE" w:hAnsi="Mark Pro" w:cs="Arial"/>
        </w:rPr>
        <w:t>essential</w:t>
      </w:r>
      <w:r w:rsidRPr="00886CB8">
        <w:rPr>
          <w:rFonts w:ascii="Mark Pro" w:eastAsia="HGGothicE" w:hAnsi="Mark Pro" w:cs="Arial"/>
        </w:rPr>
        <w:t xml:space="preserve">; and that </w:t>
      </w:r>
      <w:r w:rsidR="0055722E">
        <w:rPr>
          <w:rFonts w:ascii="Mark Pro" w:eastAsia="HGGothicE" w:hAnsi="Mark Pro" w:cs="Arial"/>
        </w:rPr>
        <w:t xml:space="preserve">the </w:t>
      </w:r>
      <w:r w:rsidRPr="00886CB8">
        <w:rPr>
          <w:rFonts w:ascii="Mark Pro" w:eastAsia="HGGothicE" w:hAnsi="Mark Pro" w:cs="Arial"/>
        </w:rPr>
        <w:t xml:space="preserve">industry should be consulted. </w:t>
      </w:r>
      <w:r>
        <w:rPr>
          <w:rFonts w:ascii="Mark Pro" w:eastAsia="HGGothicE" w:hAnsi="Mark Pro" w:cs="Arial"/>
        </w:rPr>
        <w:t xml:space="preserve"> </w:t>
      </w:r>
    </w:p>
    <w:p w14:paraId="3524F15D" w14:textId="22F1B84B" w:rsidR="00886CB8" w:rsidRPr="00886CB8" w:rsidRDefault="00886CB8" w:rsidP="00426E81">
      <w:pPr>
        <w:spacing w:after="120" w:line="276" w:lineRule="auto"/>
        <w:rPr>
          <w:rFonts w:ascii="Mark Pro" w:eastAsia="HGGothicE" w:hAnsi="Mark Pro" w:cs="Arial"/>
          <w:u w:val="single"/>
        </w:rPr>
      </w:pPr>
      <w:r w:rsidRPr="00886CB8">
        <w:rPr>
          <w:rFonts w:ascii="Mark Pro" w:eastAsia="HGGothicE" w:hAnsi="Mark Pro" w:cs="Arial"/>
          <w:u w:val="single"/>
        </w:rPr>
        <w:t>Government response</w:t>
      </w:r>
    </w:p>
    <w:p w14:paraId="45D9ACF1" w14:textId="28BFD275" w:rsidR="00886CB8" w:rsidRDefault="00886CB8" w:rsidP="00426E81">
      <w:pPr>
        <w:spacing w:after="120" w:line="276" w:lineRule="auto"/>
        <w:rPr>
          <w:rFonts w:ascii="Mark Pro" w:eastAsia="HGGothicE" w:hAnsi="Mark Pro" w:cs="Arial"/>
        </w:rPr>
      </w:pPr>
      <w:r w:rsidRPr="00886CB8">
        <w:rPr>
          <w:rFonts w:ascii="Mark Pro" w:eastAsia="HGGothicE" w:hAnsi="Mark Pro" w:cs="Arial"/>
        </w:rPr>
        <w:t xml:space="preserve">The digital development process, initiated in early 2023, is now in the Private Beta stage, following the completion of </w:t>
      </w:r>
      <w:r w:rsidR="0055722E">
        <w:rPr>
          <w:rFonts w:ascii="Mark Pro" w:eastAsia="HGGothicE" w:hAnsi="Mark Pro" w:cs="Arial"/>
        </w:rPr>
        <w:t xml:space="preserve">the </w:t>
      </w:r>
      <w:r w:rsidRPr="00886CB8">
        <w:rPr>
          <w:rFonts w:ascii="Mark Pro" w:eastAsia="HGGothicE" w:hAnsi="Mark Pro" w:cs="Arial"/>
        </w:rPr>
        <w:t>Discovery and Alpha phases. Adhering to Government Digital Service standards</w:t>
      </w:r>
      <w:r w:rsidR="0055722E">
        <w:rPr>
          <w:rFonts w:ascii="Mark Pro" w:eastAsia="HGGothicE" w:hAnsi="Mark Pro" w:cs="Arial"/>
        </w:rPr>
        <w:t xml:space="preserve"> prioritises the </w:t>
      </w:r>
      <w:r w:rsidRPr="00886CB8">
        <w:rPr>
          <w:rFonts w:ascii="Mark Pro" w:eastAsia="HGGothicE" w:hAnsi="Mark Pro" w:cs="Arial"/>
        </w:rPr>
        <w:t>secure handling of sensitive data. The system is designed with user-centric features based on ongoing feedback and testing. It will transition to Public Beta for broader access. The service will not include an on-system credit-trading facility; such transactions will occur off-system between manufacturers. Users can submit trade notifications for credit balance updates. Further information on data visibility for credit trading is detailed in the Data Visibility section.</w:t>
      </w:r>
    </w:p>
    <w:p w14:paraId="39EF48F7" w14:textId="61F99304" w:rsidR="00886CB8" w:rsidRDefault="00886CB8" w:rsidP="00426E81">
      <w:pPr>
        <w:spacing w:after="120" w:line="276" w:lineRule="auto"/>
        <w:rPr>
          <w:rFonts w:ascii="Mark Pro" w:eastAsia="HGGothicE" w:hAnsi="Mark Pro" w:cs="Arial"/>
        </w:rPr>
      </w:pPr>
    </w:p>
    <w:p w14:paraId="3E89E95A" w14:textId="4BCA06EC" w:rsidR="0055722E" w:rsidRDefault="0055722E" w:rsidP="00426E81">
      <w:pPr>
        <w:spacing w:after="120" w:line="276" w:lineRule="auto"/>
        <w:rPr>
          <w:rFonts w:ascii="Mark Pro" w:eastAsia="HGGothicE" w:hAnsi="Mark Pro" w:cs="Arial"/>
        </w:rPr>
      </w:pPr>
    </w:p>
    <w:p w14:paraId="207874C9" w14:textId="48250FD2" w:rsidR="0055722E" w:rsidRDefault="0055722E" w:rsidP="00426E81">
      <w:pPr>
        <w:spacing w:after="120" w:line="276" w:lineRule="auto"/>
        <w:rPr>
          <w:rFonts w:ascii="Mark Pro" w:eastAsia="HGGothicE" w:hAnsi="Mark Pro" w:cs="Arial"/>
        </w:rPr>
      </w:pPr>
    </w:p>
    <w:p w14:paraId="50DCCC19" w14:textId="418EA8A2" w:rsidR="0055722E" w:rsidRDefault="0055722E" w:rsidP="00426E81">
      <w:pPr>
        <w:spacing w:after="120" w:line="276" w:lineRule="auto"/>
        <w:rPr>
          <w:rFonts w:ascii="Mark Pro" w:eastAsia="HGGothicE" w:hAnsi="Mark Pro" w:cs="Arial"/>
        </w:rPr>
      </w:pPr>
    </w:p>
    <w:p w14:paraId="18E8289E" w14:textId="1D6B001B" w:rsidR="0055722E" w:rsidRDefault="0055722E" w:rsidP="00426E81">
      <w:pPr>
        <w:spacing w:after="120" w:line="276" w:lineRule="auto"/>
        <w:rPr>
          <w:rFonts w:ascii="Mark Pro" w:eastAsia="HGGothicE" w:hAnsi="Mark Pro" w:cs="Arial"/>
        </w:rPr>
      </w:pPr>
    </w:p>
    <w:p w14:paraId="5E3BE6D5" w14:textId="77777777" w:rsidR="0055722E" w:rsidRDefault="0055722E" w:rsidP="00426E81">
      <w:pPr>
        <w:spacing w:after="120" w:line="276" w:lineRule="auto"/>
        <w:rPr>
          <w:rFonts w:ascii="Mark Pro" w:eastAsia="HGGothicE" w:hAnsi="Mark Pro" w:cs="Arial"/>
        </w:rPr>
      </w:pPr>
    </w:p>
    <w:p w14:paraId="4DCA4F75" w14:textId="74063261" w:rsidR="00A62C0C" w:rsidRPr="00A62C0C" w:rsidRDefault="00A62C0C" w:rsidP="00426E81">
      <w:pPr>
        <w:spacing w:after="120" w:line="276" w:lineRule="auto"/>
        <w:rPr>
          <w:rFonts w:ascii="Mark Pro" w:eastAsia="HGGothicE" w:hAnsi="Mark Pro" w:cs="Arial"/>
        </w:rPr>
      </w:pPr>
      <w:r w:rsidRPr="00E954B1">
        <w:rPr>
          <w:rFonts w:ascii="Mark Pro" w:eastAsia="HGGothicE" w:hAnsi="Mark Pro" w:cs="Arial"/>
          <w:b/>
          <w:bCs/>
        </w:rPr>
        <w:t>QUESTION 16</w:t>
      </w:r>
      <w:r w:rsidRPr="00A62C0C">
        <w:rPr>
          <w:rFonts w:ascii="Mark Pro" w:eastAsia="HGGothicE" w:hAnsi="Mark Pro" w:cs="Arial"/>
        </w:rPr>
        <w:t>: Do you agree with the proposal to limit credit ownership to scheme participants?</w:t>
      </w:r>
    </w:p>
    <w:p w14:paraId="045452BD" w14:textId="3BEDE616" w:rsidR="00D0211F" w:rsidRPr="00D0211F" w:rsidRDefault="00D0211F" w:rsidP="00426E81">
      <w:pPr>
        <w:pStyle w:val="ListParagraph"/>
        <w:numPr>
          <w:ilvl w:val="0"/>
          <w:numId w:val="20"/>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SNIPEF </w:t>
      </w:r>
      <w:r w:rsidR="0055722E">
        <w:rPr>
          <w:rFonts w:ascii="Mark Pro" w:eastAsia="HGGothicE" w:hAnsi="Mark Pro" w:cs="Arial"/>
          <w:b/>
          <w:bCs/>
        </w:rPr>
        <w:t>submission</w:t>
      </w:r>
      <w:r w:rsidRPr="00D0211F">
        <w:rPr>
          <w:rFonts w:ascii="Mark Pro" w:eastAsia="HGGothicE" w:hAnsi="Mark Pro" w:cs="Arial"/>
        </w:rPr>
        <w:t>: SNIPEF agreed with the proposal to limit credit ownership to scheme participants.</w:t>
      </w:r>
    </w:p>
    <w:p w14:paraId="668A0A24" w14:textId="0C70A4E1" w:rsidR="00D0211F" w:rsidRPr="00D0211F" w:rsidRDefault="00D0211F" w:rsidP="00426E81">
      <w:pPr>
        <w:pStyle w:val="ListParagraph"/>
        <w:numPr>
          <w:ilvl w:val="0"/>
          <w:numId w:val="20"/>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Consultation </w:t>
      </w:r>
      <w:r w:rsidR="0055722E">
        <w:rPr>
          <w:rFonts w:ascii="Mark Pro" w:eastAsia="HGGothicE" w:hAnsi="Mark Pro" w:cs="Arial"/>
          <w:b/>
          <w:bCs/>
        </w:rPr>
        <w:t>s</w:t>
      </w:r>
      <w:r w:rsidRPr="00D0211F">
        <w:rPr>
          <w:rFonts w:ascii="Mark Pro" w:eastAsia="HGGothicE" w:hAnsi="Mark Pro" w:cs="Arial"/>
          <w:b/>
          <w:bCs/>
        </w:rPr>
        <w:t>ummary</w:t>
      </w:r>
      <w:r w:rsidRPr="00D0211F">
        <w:rPr>
          <w:rFonts w:ascii="Mark Pro" w:eastAsia="HGGothicE" w:hAnsi="Mark Pro" w:cs="Arial"/>
        </w:rPr>
        <w:t xml:space="preserve">: The majority (43 out of 48 respondents) supported the proposal, highlighting concerns about market distortion, credit shortages, and administrative complexity if third parties were allowed to own credits. </w:t>
      </w:r>
      <w:r w:rsidR="0055722E">
        <w:rPr>
          <w:rFonts w:ascii="Mark Pro" w:eastAsia="HGGothicE" w:hAnsi="Mark Pro" w:cs="Arial"/>
        </w:rPr>
        <w:t>While supportive of limiting credit ownership, some boiler manufacturers expressed concerns about the overall credit-trading mechanism</w:t>
      </w:r>
      <w:r w:rsidRPr="00D0211F">
        <w:rPr>
          <w:rFonts w:ascii="Mark Pro" w:eastAsia="HGGothicE" w:hAnsi="Mark Pro" w:cs="Arial"/>
        </w:rPr>
        <w:t>.</w:t>
      </w:r>
    </w:p>
    <w:p w14:paraId="1CF67E31" w14:textId="1EA1EE3F" w:rsidR="00523110" w:rsidRDefault="00D0211F" w:rsidP="00F9473B">
      <w:pPr>
        <w:pStyle w:val="ListParagraph"/>
        <w:numPr>
          <w:ilvl w:val="0"/>
          <w:numId w:val="20"/>
        </w:numPr>
        <w:spacing w:after="120" w:line="276" w:lineRule="auto"/>
        <w:ind w:left="714" w:hanging="357"/>
        <w:contextualSpacing w:val="0"/>
        <w:rPr>
          <w:rFonts w:ascii="Mark Pro" w:eastAsia="HGGothicE" w:hAnsi="Mark Pro" w:cs="Arial"/>
        </w:rPr>
      </w:pPr>
      <w:r w:rsidRPr="00523110">
        <w:rPr>
          <w:rFonts w:ascii="Mark Pro" w:eastAsia="HGGothicE" w:hAnsi="Mark Pro" w:cs="Arial"/>
          <w:b/>
          <w:bCs/>
        </w:rPr>
        <w:t xml:space="preserve">Government </w:t>
      </w:r>
      <w:r w:rsidR="0055722E" w:rsidRPr="00523110">
        <w:rPr>
          <w:rFonts w:ascii="Mark Pro" w:eastAsia="HGGothicE" w:hAnsi="Mark Pro" w:cs="Arial"/>
          <w:b/>
          <w:bCs/>
        </w:rPr>
        <w:t>r</w:t>
      </w:r>
      <w:r w:rsidRPr="00523110">
        <w:rPr>
          <w:rFonts w:ascii="Mark Pro" w:eastAsia="HGGothicE" w:hAnsi="Mark Pro" w:cs="Arial"/>
          <w:b/>
          <w:bCs/>
        </w:rPr>
        <w:t>esponse</w:t>
      </w:r>
      <w:r w:rsidR="00523110">
        <w:rPr>
          <w:rFonts w:ascii="Mark Pro" w:eastAsia="HGGothicE" w:hAnsi="Mark Pro" w:cs="Arial"/>
        </w:rPr>
        <w:t xml:space="preserve"> (see Q17)</w:t>
      </w:r>
    </w:p>
    <w:p w14:paraId="5F334D50" w14:textId="5A201C9C" w:rsidR="00D0211F" w:rsidRPr="00523110" w:rsidRDefault="00D0211F" w:rsidP="00523110">
      <w:pPr>
        <w:spacing w:after="120" w:line="276" w:lineRule="auto"/>
        <w:rPr>
          <w:rFonts w:ascii="Mark Pro" w:eastAsia="HGGothicE" w:hAnsi="Mark Pro" w:cs="Arial"/>
        </w:rPr>
      </w:pPr>
      <w:r w:rsidRPr="00523110">
        <w:rPr>
          <w:rFonts w:ascii="Mark Pro" w:eastAsia="HGGothicE" w:hAnsi="Mark Pro" w:cs="Arial"/>
          <w:b/>
          <w:bCs/>
        </w:rPr>
        <w:t>Agreement</w:t>
      </w:r>
      <w:r w:rsidR="0055722E" w:rsidRPr="00523110">
        <w:rPr>
          <w:rFonts w:ascii="Mark Pro" w:eastAsia="HGGothicE" w:hAnsi="Mark Pro" w:cs="Arial"/>
          <w:b/>
          <w:bCs/>
        </w:rPr>
        <w:t xml:space="preserve"> with SNIPEF’s submission</w:t>
      </w:r>
    </w:p>
    <w:p w14:paraId="64963D22" w14:textId="77777777" w:rsidR="00D0211F" w:rsidRPr="00A62C0C" w:rsidRDefault="00D0211F" w:rsidP="0055722E">
      <w:pPr>
        <w:spacing w:after="120" w:line="276" w:lineRule="auto"/>
        <w:rPr>
          <w:rFonts w:ascii="Mark Pro" w:eastAsia="HGGothicE" w:hAnsi="Mark Pro" w:cs="Arial"/>
        </w:rPr>
      </w:pPr>
    </w:p>
    <w:p w14:paraId="308694B9" w14:textId="3CAEE3D0" w:rsidR="00A62C0C" w:rsidRPr="00A62C0C" w:rsidRDefault="00A62C0C" w:rsidP="00426E81">
      <w:pPr>
        <w:spacing w:after="120" w:line="276" w:lineRule="auto"/>
        <w:rPr>
          <w:rFonts w:ascii="Mark Pro" w:eastAsia="HGGothicE" w:hAnsi="Mark Pro" w:cs="Arial"/>
        </w:rPr>
      </w:pPr>
      <w:r w:rsidRPr="00E954B1">
        <w:rPr>
          <w:rFonts w:ascii="Mark Pro" w:eastAsia="HGGothicE" w:hAnsi="Mark Pro" w:cs="Arial"/>
          <w:b/>
          <w:bCs/>
        </w:rPr>
        <w:t>QUESTION 17:</w:t>
      </w:r>
      <w:r w:rsidRPr="00A62C0C">
        <w:rPr>
          <w:rFonts w:ascii="Mark Pro" w:eastAsia="HGGothicE" w:hAnsi="Mark Pro" w:cs="Arial"/>
        </w:rPr>
        <w:t xml:space="preserve"> Do you agree with the proposal to limit credit-purchasing to obligated parties?</w:t>
      </w:r>
    </w:p>
    <w:p w14:paraId="7F71A195" w14:textId="5F600F3E" w:rsidR="00D0211F" w:rsidRPr="00D0211F" w:rsidRDefault="00D0211F" w:rsidP="00426E81">
      <w:pPr>
        <w:pStyle w:val="ListParagraph"/>
        <w:numPr>
          <w:ilvl w:val="0"/>
          <w:numId w:val="22"/>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SNIPEF </w:t>
      </w:r>
      <w:r w:rsidR="00523110">
        <w:rPr>
          <w:rFonts w:ascii="Mark Pro" w:eastAsia="HGGothicE" w:hAnsi="Mark Pro" w:cs="Arial"/>
          <w:b/>
          <w:bCs/>
        </w:rPr>
        <w:t>submission</w:t>
      </w:r>
      <w:r w:rsidRPr="00D0211F">
        <w:rPr>
          <w:rFonts w:ascii="Mark Pro" w:eastAsia="HGGothicE" w:hAnsi="Mark Pro" w:cs="Arial"/>
        </w:rPr>
        <w:t xml:space="preserve">: SNIPEF agreed with the proposal to limit credit-purchasing to obligated parties. They expressed concern that allowing non-obligated manufacturers to sell credits could lead to abuse, as it might </w:t>
      </w:r>
      <w:r w:rsidR="00523110">
        <w:rPr>
          <w:rFonts w:ascii="Mark Pro" w:eastAsia="HGGothicE" w:hAnsi="Mark Pro" w:cs="Arial"/>
        </w:rPr>
        <w:t>incentivise</w:t>
      </w:r>
      <w:r w:rsidRPr="00D0211F">
        <w:rPr>
          <w:rFonts w:ascii="Mark Pro" w:eastAsia="HGGothicE" w:hAnsi="Mark Pro" w:cs="Arial"/>
        </w:rPr>
        <w:t xml:space="preserve"> them to profit from selling credits, which is not the intended purpose of the policy.</w:t>
      </w:r>
    </w:p>
    <w:p w14:paraId="4550C44B" w14:textId="419D2220" w:rsidR="00D0211F" w:rsidRPr="00D0211F" w:rsidRDefault="00D0211F" w:rsidP="00426E81">
      <w:pPr>
        <w:pStyle w:val="ListParagraph"/>
        <w:numPr>
          <w:ilvl w:val="0"/>
          <w:numId w:val="22"/>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Consultation </w:t>
      </w:r>
      <w:r w:rsidR="00523110">
        <w:rPr>
          <w:rFonts w:ascii="Mark Pro" w:eastAsia="HGGothicE" w:hAnsi="Mark Pro" w:cs="Arial"/>
          <w:b/>
          <w:bCs/>
        </w:rPr>
        <w:t>s</w:t>
      </w:r>
      <w:r w:rsidRPr="00D0211F">
        <w:rPr>
          <w:rFonts w:ascii="Mark Pro" w:eastAsia="HGGothicE" w:hAnsi="Mark Pro" w:cs="Arial"/>
          <w:b/>
          <w:bCs/>
        </w:rPr>
        <w:t>ummary</w:t>
      </w:r>
      <w:r w:rsidRPr="00D0211F">
        <w:rPr>
          <w:rFonts w:ascii="Mark Pro" w:eastAsia="HGGothicE" w:hAnsi="Mark Pro" w:cs="Arial"/>
        </w:rPr>
        <w:t xml:space="preserve">: </w:t>
      </w:r>
      <w:r w:rsidR="00523110">
        <w:rPr>
          <w:rFonts w:ascii="Mark Pro" w:eastAsia="HGGothicE" w:hAnsi="Mark Pro" w:cs="Arial"/>
        </w:rPr>
        <w:t>Most</w:t>
      </w:r>
      <w:r w:rsidRPr="00D0211F">
        <w:rPr>
          <w:rFonts w:ascii="Mark Pro" w:eastAsia="HGGothicE" w:hAnsi="Mark Pro" w:cs="Arial"/>
        </w:rPr>
        <w:t xml:space="preserve"> respondents (39 out of 42) agreed with the proposal. </w:t>
      </w:r>
      <w:r w:rsidR="00523110">
        <w:rPr>
          <w:rFonts w:ascii="Mark Pro" w:eastAsia="HGGothicE" w:hAnsi="Mark Pro" w:cs="Arial"/>
        </w:rPr>
        <w:t>Like</w:t>
      </w:r>
      <w:r w:rsidRPr="00D0211F">
        <w:rPr>
          <w:rFonts w:ascii="Mark Pro" w:eastAsia="HGGothicE" w:hAnsi="Mark Pro" w:cs="Arial"/>
        </w:rPr>
        <w:t xml:space="preserve"> SNIPEF, they noted the potential for market distortions if parties other than obligated ones were allowed to purchase credits.</w:t>
      </w:r>
    </w:p>
    <w:p w14:paraId="09C2A0E0" w14:textId="67D34DE5" w:rsidR="00D0211F" w:rsidRPr="00D0211F" w:rsidRDefault="00D0211F" w:rsidP="00426E81">
      <w:pPr>
        <w:pStyle w:val="ListParagraph"/>
        <w:numPr>
          <w:ilvl w:val="0"/>
          <w:numId w:val="22"/>
        </w:numPr>
        <w:spacing w:after="120" w:line="276" w:lineRule="auto"/>
        <w:ind w:left="714" w:hanging="357"/>
        <w:contextualSpacing w:val="0"/>
        <w:rPr>
          <w:rFonts w:ascii="Mark Pro" w:eastAsia="HGGothicE" w:hAnsi="Mark Pro" w:cs="Arial"/>
        </w:rPr>
      </w:pPr>
      <w:r w:rsidRPr="00D0211F">
        <w:rPr>
          <w:rFonts w:ascii="Mark Pro" w:eastAsia="HGGothicE" w:hAnsi="Mark Pro" w:cs="Arial"/>
          <w:b/>
          <w:bCs/>
        </w:rPr>
        <w:t xml:space="preserve">Government </w:t>
      </w:r>
      <w:r w:rsidR="00523110">
        <w:rPr>
          <w:rFonts w:ascii="Mark Pro" w:eastAsia="HGGothicE" w:hAnsi="Mark Pro" w:cs="Arial"/>
          <w:b/>
          <w:bCs/>
        </w:rPr>
        <w:t>r</w:t>
      </w:r>
      <w:r w:rsidRPr="00D0211F">
        <w:rPr>
          <w:rFonts w:ascii="Mark Pro" w:eastAsia="HGGothicE" w:hAnsi="Mark Pro" w:cs="Arial"/>
          <w:b/>
          <w:bCs/>
        </w:rPr>
        <w:t>esponse</w:t>
      </w:r>
      <w:r w:rsidR="00523110">
        <w:rPr>
          <w:rFonts w:ascii="Mark Pro" w:eastAsia="HGGothicE" w:hAnsi="Mark Pro" w:cs="Arial"/>
          <w:b/>
          <w:bCs/>
        </w:rPr>
        <w:t xml:space="preserve"> (Q16 &amp; Q17)</w:t>
      </w:r>
      <w:r w:rsidRPr="00D0211F">
        <w:rPr>
          <w:rFonts w:ascii="Mark Pro" w:eastAsia="HGGothicE" w:hAnsi="Mark Pro" w:cs="Arial"/>
        </w:rPr>
        <w:t>: The government views credit</w:t>
      </w:r>
      <w:r w:rsidR="00523110">
        <w:rPr>
          <w:rFonts w:ascii="Mark Pro" w:eastAsia="HGGothicE" w:hAnsi="Mark Pro" w:cs="Arial"/>
        </w:rPr>
        <w:t xml:space="preserve"> </w:t>
      </w:r>
      <w:r w:rsidRPr="00D0211F">
        <w:rPr>
          <w:rFonts w:ascii="Mark Pro" w:eastAsia="HGGothicE" w:hAnsi="Mark Pro" w:cs="Arial"/>
        </w:rPr>
        <w:t xml:space="preserve">trading as a crucial part of the scheme and intends to limit credit purchasing to obligated parties only. This decision aligns with the majority and </w:t>
      </w:r>
      <w:r w:rsidR="00523110">
        <w:rPr>
          <w:rFonts w:ascii="Mark Pro" w:eastAsia="HGGothicE" w:hAnsi="Mark Pro" w:cs="Arial"/>
        </w:rPr>
        <w:t>aims to prevent</w:t>
      </w:r>
      <w:r w:rsidRPr="00D0211F">
        <w:rPr>
          <w:rFonts w:ascii="Mark Pro" w:eastAsia="HGGothicE" w:hAnsi="Mark Pro" w:cs="Arial"/>
        </w:rPr>
        <w:t xml:space="preserve"> market manipulation and other unintended consequences. The government has not introduced a cap on credit purchases but will consider this in the future if necessary.</w:t>
      </w:r>
    </w:p>
    <w:p w14:paraId="44B8A58C" w14:textId="77777777" w:rsidR="00523110" w:rsidRPr="00523110" w:rsidRDefault="00523110" w:rsidP="00523110">
      <w:pPr>
        <w:spacing w:after="120" w:line="276" w:lineRule="auto"/>
        <w:rPr>
          <w:rFonts w:ascii="Mark Pro" w:eastAsia="HGGothicE" w:hAnsi="Mark Pro" w:cs="Arial"/>
        </w:rPr>
      </w:pPr>
      <w:r w:rsidRPr="00523110">
        <w:rPr>
          <w:rFonts w:ascii="Mark Pro" w:eastAsia="HGGothicE" w:hAnsi="Mark Pro" w:cs="Arial"/>
          <w:b/>
          <w:bCs/>
        </w:rPr>
        <w:t>Agreement with SNIPEF’s submission</w:t>
      </w:r>
    </w:p>
    <w:p w14:paraId="16A45846" w14:textId="2C2B634F" w:rsidR="00D0211F" w:rsidRDefault="00D0211F" w:rsidP="00426E81">
      <w:pPr>
        <w:spacing w:after="120" w:line="276" w:lineRule="auto"/>
        <w:rPr>
          <w:rFonts w:ascii="Mark Pro" w:eastAsia="HGGothicE" w:hAnsi="Mark Pro" w:cs="Arial"/>
        </w:rPr>
      </w:pPr>
    </w:p>
    <w:p w14:paraId="178D9EA0" w14:textId="2F0B1A32" w:rsidR="00523110" w:rsidRDefault="00523110" w:rsidP="00426E81">
      <w:pPr>
        <w:spacing w:after="120" w:line="276" w:lineRule="auto"/>
        <w:rPr>
          <w:rFonts w:ascii="Mark Pro" w:eastAsia="HGGothicE" w:hAnsi="Mark Pro" w:cs="Arial"/>
        </w:rPr>
      </w:pPr>
    </w:p>
    <w:p w14:paraId="57F8C13C" w14:textId="7D1A092A" w:rsidR="00523110" w:rsidRDefault="00523110" w:rsidP="00426E81">
      <w:pPr>
        <w:spacing w:after="120" w:line="276" w:lineRule="auto"/>
        <w:rPr>
          <w:rFonts w:ascii="Mark Pro" w:eastAsia="HGGothicE" w:hAnsi="Mark Pro" w:cs="Arial"/>
        </w:rPr>
      </w:pPr>
    </w:p>
    <w:p w14:paraId="6ADE7F73" w14:textId="74CC4DE5" w:rsidR="00523110" w:rsidRDefault="00523110" w:rsidP="00426E81">
      <w:pPr>
        <w:spacing w:after="120" w:line="276" w:lineRule="auto"/>
        <w:rPr>
          <w:rFonts w:ascii="Mark Pro" w:eastAsia="HGGothicE" w:hAnsi="Mark Pro" w:cs="Arial"/>
        </w:rPr>
      </w:pPr>
    </w:p>
    <w:p w14:paraId="5CD5326A" w14:textId="79FBFFD2" w:rsidR="00523110" w:rsidRDefault="00523110" w:rsidP="00426E81">
      <w:pPr>
        <w:spacing w:after="120" w:line="276" w:lineRule="auto"/>
        <w:rPr>
          <w:rFonts w:ascii="Mark Pro" w:eastAsia="HGGothicE" w:hAnsi="Mark Pro" w:cs="Arial"/>
        </w:rPr>
      </w:pPr>
    </w:p>
    <w:p w14:paraId="53920A08" w14:textId="77777777" w:rsidR="00523110" w:rsidRDefault="00523110" w:rsidP="00426E81">
      <w:pPr>
        <w:spacing w:after="120" w:line="276" w:lineRule="auto"/>
        <w:rPr>
          <w:rFonts w:ascii="Mark Pro" w:eastAsia="HGGothicE" w:hAnsi="Mark Pro" w:cs="Arial"/>
        </w:rPr>
      </w:pPr>
    </w:p>
    <w:p w14:paraId="0A933699" w14:textId="57833A3B" w:rsidR="00886CB8" w:rsidRDefault="00886CB8" w:rsidP="00426E81">
      <w:pPr>
        <w:spacing w:after="120" w:line="276" w:lineRule="auto"/>
        <w:rPr>
          <w:rFonts w:ascii="Mark Pro" w:eastAsia="HGGothicE" w:hAnsi="Mark Pro" w:cs="Arial"/>
        </w:rPr>
      </w:pPr>
      <w:r w:rsidRPr="00D0347F">
        <w:rPr>
          <w:rFonts w:ascii="Mark Pro" w:eastAsia="HGGothicE" w:hAnsi="Mark Pro" w:cs="Arial"/>
          <w:b/>
          <w:bCs/>
        </w:rPr>
        <w:lastRenderedPageBreak/>
        <w:t>QUESTION 18:</w:t>
      </w:r>
      <w:r>
        <w:rPr>
          <w:rFonts w:ascii="Mark Pro" w:eastAsia="HGGothicE" w:hAnsi="Mark Pro" w:cs="Arial"/>
        </w:rPr>
        <w:t xml:space="preserve"> </w:t>
      </w:r>
      <w:r w:rsidR="00D0347F" w:rsidRPr="00D0347F">
        <w:rPr>
          <w:rFonts w:ascii="Mark Pro" w:eastAsia="HGGothicE" w:hAnsi="Mark Pro" w:cs="Arial"/>
        </w:rPr>
        <w:t>Do you have views on what information or data related to an account-holder (eg. their current credit holding, their contact details) should be visible on the digital system to other account-holders?</w:t>
      </w:r>
    </w:p>
    <w:p w14:paraId="2407094C" w14:textId="77777777" w:rsidR="00D0347F" w:rsidRPr="00BC3D9E" w:rsidRDefault="00D0347F"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3CFC73EA" w14:textId="77777777" w:rsidR="00D0347F" w:rsidRPr="00BC3D9E" w:rsidRDefault="00D0347F"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249BFA92" w14:textId="17309C6C" w:rsidR="00D0211F" w:rsidRDefault="00D0347F" w:rsidP="00426E81">
      <w:pPr>
        <w:spacing w:after="120" w:line="276" w:lineRule="auto"/>
        <w:rPr>
          <w:rFonts w:ascii="Mark Pro" w:eastAsia="HGGothicE" w:hAnsi="Mark Pro" w:cs="Arial"/>
        </w:rPr>
      </w:pPr>
      <w:r w:rsidRPr="00D0347F">
        <w:rPr>
          <w:rFonts w:ascii="Mark Pro" w:eastAsia="HGGothicE" w:hAnsi="Mark Pro" w:cs="Arial"/>
        </w:rPr>
        <w:t xml:space="preserve">Respondents were divided </w:t>
      </w:r>
      <w:r>
        <w:rPr>
          <w:rFonts w:ascii="Mark Pro" w:eastAsia="HGGothicE" w:hAnsi="Mark Pro" w:cs="Arial"/>
        </w:rPr>
        <w:t>concerning</w:t>
      </w:r>
      <w:r w:rsidRPr="00D0347F">
        <w:rPr>
          <w:rFonts w:ascii="Mark Pro" w:eastAsia="HGGothicE" w:hAnsi="Mark Pro" w:cs="Arial"/>
        </w:rPr>
        <w:t xml:space="preserve"> the data that should be visible to other users on the digital system. Most respondents (18), including </w:t>
      </w:r>
      <w:r>
        <w:rPr>
          <w:rFonts w:ascii="Mark Pro" w:eastAsia="HGGothicE" w:hAnsi="Mark Pro" w:cs="Arial"/>
        </w:rPr>
        <w:t>most</w:t>
      </w:r>
      <w:r w:rsidRPr="00D0347F">
        <w:rPr>
          <w:rFonts w:ascii="Mark Pro" w:eastAsia="HGGothicE" w:hAnsi="Mark Pro" w:cs="Arial"/>
        </w:rPr>
        <w:t xml:space="preserve"> boiler manufacturers, expressed concern about data visibility due to commercial sensitivity and risks of exploitative behaviours or credit price manipulations.</w:t>
      </w:r>
    </w:p>
    <w:p w14:paraId="25D6A161" w14:textId="200F4933" w:rsidR="00D0347F" w:rsidRPr="00D0347F" w:rsidRDefault="00D0347F" w:rsidP="00426E81">
      <w:pPr>
        <w:spacing w:after="120" w:line="276" w:lineRule="auto"/>
        <w:rPr>
          <w:rFonts w:ascii="Mark Pro" w:eastAsia="HGGothicE" w:hAnsi="Mark Pro" w:cs="Arial"/>
          <w:u w:val="single"/>
        </w:rPr>
      </w:pPr>
      <w:r w:rsidRPr="00D0347F">
        <w:rPr>
          <w:rFonts w:ascii="Mark Pro" w:eastAsia="HGGothicE" w:hAnsi="Mark Pro" w:cs="Arial"/>
          <w:u w:val="single"/>
        </w:rPr>
        <w:t>Government response</w:t>
      </w:r>
    </w:p>
    <w:p w14:paraId="0577DA76" w14:textId="35142344" w:rsidR="00D0347F" w:rsidRDefault="00D0347F" w:rsidP="00426E81">
      <w:pPr>
        <w:spacing w:after="120" w:line="276" w:lineRule="auto"/>
        <w:rPr>
          <w:rFonts w:ascii="Mark Pro" w:eastAsia="HGGothicE" w:hAnsi="Mark Pro" w:cs="Arial"/>
        </w:rPr>
      </w:pPr>
      <w:r w:rsidRPr="00D0347F">
        <w:rPr>
          <w:rFonts w:ascii="Mark Pro" w:eastAsia="HGGothicE" w:hAnsi="Mark Pro" w:cs="Arial"/>
        </w:rPr>
        <w:t>Recognising issues including commercial sensitivity, the government does not intend to make boiler sales or credit holding data visible to other users on the digital system. Q15 sets out how credit</w:t>
      </w:r>
      <w:r w:rsidR="00523110">
        <w:rPr>
          <w:rFonts w:ascii="Mark Pro" w:eastAsia="HGGothicE" w:hAnsi="Mark Pro" w:cs="Arial"/>
        </w:rPr>
        <w:t xml:space="preserve"> t</w:t>
      </w:r>
      <w:r w:rsidRPr="00D0347F">
        <w:rPr>
          <w:rFonts w:ascii="Mark Pro" w:eastAsia="HGGothicE" w:hAnsi="Mark Pro" w:cs="Arial"/>
        </w:rPr>
        <w:t xml:space="preserve">rading will occur in the context of the digital system. </w:t>
      </w:r>
    </w:p>
    <w:p w14:paraId="4CF3DE00" w14:textId="4298799F" w:rsidR="00D0347F" w:rsidRPr="00D0347F" w:rsidRDefault="00D0347F" w:rsidP="00426E81">
      <w:pPr>
        <w:spacing w:after="120" w:line="276" w:lineRule="auto"/>
        <w:rPr>
          <w:rFonts w:ascii="Mark Pro" w:eastAsia="HGGothicE" w:hAnsi="Mark Pro" w:cs="Arial"/>
          <w:b/>
          <w:bCs/>
        </w:rPr>
      </w:pPr>
    </w:p>
    <w:p w14:paraId="6E7E9782" w14:textId="54EBFE92" w:rsidR="00D0347F" w:rsidRPr="00D0347F" w:rsidRDefault="00D0347F" w:rsidP="00426E81">
      <w:pPr>
        <w:spacing w:after="120" w:line="276" w:lineRule="auto"/>
        <w:rPr>
          <w:rFonts w:ascii="Mark Pro" w:eastAsia="HGGothicE" w:hAnsi="Mark Pro" w:cs="Arial"/>
        </w:rPr>
      </w:pPr>
      <w:r w:rsidRPr="00D0347F">
        <w:rPr>
          <w:rFonts w:ascii="Mark Pro" w:eastAsia="HGGothicE" w:hAnsi="Mark Pro" w:cs="Arial"/>
          <w:b/>
          <w:bCs/>
        </w:rPr>
        <w:t>QUESTION 19:</w:t>
      </w:r>
      <w:r>
        <w:rPr>
          <w:rFonts w:ascii="Mark Pro" w:eastAsia="HGGothicE" w:hAnsi="Mark Pro" w:cs="Arial"/>
          <w:b/>
          <w:bCs/>
        </w:rPr>
        <w:t xml:space="preserve"> </w:t>
      </w:r>
      <w:r w:rsidRPr="00D0347F">
        <w:rPr>
          <w:rFonts w:ascii="Mark Pro" w:eastAsia="HGGothicE" w:hAnsi="Mark Pro" w:cs="Arial"/>
        </w:rPr>
        <w:t>D</w:t>
      </w:r>
      <w:r w:rsidRPr="00D0347F">
        <w:rPr>
          <w:rFonts w:ascii="Mark Pro" w:eastAsia="HGGothicE" w:hAnsi="Mark Pro" w:cs="Arial"/>
        </w:rPr>
        <w:t>o you agree with the proposals here on credit carry-over for obligated parties?</w:t>
      </w:r>
    </w:p>
    <w:p w14:paraId="513A1F5A" w14:textId="77777777" w:rsidR="00D0347F" w:rsidRPr="00BC3D9E" w:rsidRDefault="00D0347F"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3DD19F3B" w14:textId="77777777" w:rsidR="00D0347F" w:rsidRPr="00BC3D9E" w:rsidRDefault="00D0347F"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14DEAE22" w14:textId="27D5ECD9" w:rsidR="00D0347F" w:rsidRDefault="00D0347F" w:rsidP="00426E81">
      <w:pPr>
        <w:spacing w:after="120" w:line="276" w:lineRule="auto"/>
        <w:rPr>
          <w:rFonts w:ascii="Mark Pro" w:eastAsia="HGGothicE" w:hAnsi="Mark Pro" w:cs="Arial"/>
        </w:rPr>
      </w:pPr>
      <w:r w:rsidRPr="00D0347F">
        <w:rPr>
          <w:rFonts w:ascii="Mark Pro" w:eastAsia="HGGothicE" w:hAnsi="Mark Pro" w:cs="Arial"/>
        </w:rPr>
        <w:t xml:space="preserve">Of the 41 respondents, 33 supported the proposal to carry over 25% of credits yearly, citing the need for flexibility. Concerns were raised about credit hoarding and supply issues. Some supporters, including boiler manufacturers and trade groups, doubted its practical use due to scarce surplus credits. Key stakeholders generally </w:t>
      </w:r>
      <w:r w:rsidRPr="00D0347F">
        <w:rPr>
          <w:rFonts w:ascii="Mark Pro" w:eastAsia="HGGothicE" w:hAnsi="Mark Pro" w:cs="Arial"/>
        </w:rPr>
        <w:t>favoured</w:t>
      </w:r>
      <w:r w:rsidRPr="00D0347F">
        <w:rPr>
          <w:rFonts w:ascii="Mark Pro" w:eastAsia="HGGothicE" w:hAnsi="Mark Pro" w:cs="Arial"/>
        </w:rPr>
        <w:t xml:space="preserve"> the mechanism with appropriate caps.</w:t>
      </w:r>
    </w:p>
    <w:p w14:paraId="052168FE" w14:textId="3AA64986" w:rsidR="00523110" w:rsidRPr="00523110" w:rsidRDefault="00523110" w:rsidP="00426E81">
      <w:pPr>
        <w:spacing w:after="120" w:line="276" w:lineRule="auto"/>
        <w:rPr>
          <w:rFonts w:ascii="Mark Pro" w:eastAsia="HGGothicE" w:hAnsi="Mark Pro" w:cs="Arial"/>
        </w:rPr>
      </w:pPr>
      <w:r w:rsidRPr="00523110">
        <w:rPr>
          <w:rFonts w:ascii="Mark Pro" w:eastAsia="HGGothicE" w:hAnsi="Mark Pro" w:cs="Arial"/>
          <w:u w:val="single"/>
        </w:rPr>
        <w:t>Government response</w:t>
      </w:r>
      <w:r w:rsidRPr="00523110">
        <w:rPr>
          <w:rFonts w:ascii="Mark Pro" w:eastAsia="HGGothicE" w:hAnsi="Mark Pro" w:cs="Arial"/>
        </w:rPr>
        <w:t xml:space="preserve"> (see Q20) </w:t>
      </w:r>
    </w:p>
    <w:p w14:paraId="22103948" w14:textId="77777777" w:rsidR="00523110" w:rsidRDefault="00523110" w:rsidP="00426E81">
      <w:pPr>
        <w:spacing w:after="120" w:line="276" w:lineRule="auto"/>
        <w:rPr>
          <w:rFonts w:ascii="Mark Pro" w:eastAsia="HGGothicE" w:hAnsi="Mark Pro" w:cs="Arial"/>
          <w:b/>
          <w:bCs/>
        </w:rPr>
      </w:pPr>
    </w:p>
    <w:p w14:paraId="3298B697" w14:textId="185F7B77" w:rsidR="00D0347F" w:rsidRPr="00D0347F" w:rsidRDefault="00D0347F" w:rsidP="00426E81">
      <w:pPr>
        <w:spacing w:after="120" w:line="276" w:lineRule="auto"/>
        <w:rPr>
          <w:rFonts w:ascii="Mark Pro" w:eastAsia="HGGothicE" w:hAnsi="Mark Pro" w:cs="Arial"/>
        </w:rPr>
      </w:pPr>
      <w:r w:rsidRPr="00D0347F">
        <w:rPr>
          <w:rFonts w:ascii="Mark Pro" w:eastAsia="HGGothicE" w:hAnsi="Mark Pro" w:cs="Arial"/>
          <w:b/>
          <w:bCs/>
        </w:rPr>
        <w:t>QUESTION 20:</w:t>
      </w:r>
      <w:r>
        <w:rPr>
          <w:rFonts w:ascii="Mark Pro" w:eastAsia="HGGothicE" w:hAnsi="Mark Pro" w:cs="Arial"/>
          <w:b/>
          <w:bCs/>
        </w:rPr>
        <w:t xml:space="preserve"> </w:t>
      </w:r>
      <w:r w:rsidRPr="00D0347F">
        <w:rPr>
          <w:rFonts w:ascii="Mark Pro" w:eastAsia="HGGothicE" w:hAnsi="Mark Pro" w:cs="Arial"/>
        </w:rPr>
        <w:t>Do you agree with the proposals here on credit carry-over for non-obligated heat pump manufacturers?</w:t>
      </w:r>
    </w:p>
    <w:p w14:paraId="0912A306" w14:textId="77777777" w:rsidR="00D0347F" w:rsidRPr="00BC3D9E" w:rsidRDefault="00D0347F"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2B04D740" w14:textId="77777777" w:rsidR="00D0347F" w:rsidRPr="00BC3D9E" w:rsidRDefault="00D0347F"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14EAA6EE" w14:textId="637249B5" w:rsidR="00D0347F" w:rsidRDefault="00D0347F" w:rsidP="00426E81">
      <w:pPr>
        <w:spacing w:after="120" w:line="276" w:lineRule="auto"/>
        <w:rPr>
          <w:rFonts w:ascii="Mark Pro" w:eastAsia="HGGothicE" w:hAnsi="Mark Pro" w:cs="Arial"/>
        </w:rPr>
      </w:pPr>
      <w:r w:rsidRPr="00D0347F">
        <w:rPr>
          <w:rFonts w:ascii="Mark Pro" w:eastAsia="HGGothicE" w:hAnsi="Mark Pro" w:cs="Arial"/>
        </w:rPr>
        <w:t xml:space="preserve">Those </w:t>
      </w:r>
      <w:r>
        <w:rPr>
          <w:rFonts w:ascii="Mark Pro" w:eastAsia="HGGothicE" w:hAnsi="Mark Pro" w:cs="Arial"/>
        </w:rPr>
        <w:t>favouring</w:t>
      </w:r>
      <w:r w:rsidRPr="00D0347F">
        <w:rPr>
          <w:rFonts w:ascii="Mark Pro" w:eastAsia="HGGothicE" w:hAnsi="Mark Pro" w:cs="Arial"/>
        </w:rPr>
        <w:t xml:space="preserve"> the proposal </w:t>
      </w:r>
      <w:r>
        <w:rPr>
          <w:rFonts w:ascii="Mark Pro" w:eastAsia="HGGothicE" w:hAnsi="Mark Pro" w:cs="Arial"/>
        </w:rPr>
        <w:t xml:space="preserve">(22) </w:t>
      </w:r>
      <w:r w:rsidRPr="00D0347F">
        <w:rPr>
          <w:rFonts w:ascii="Mark Pro" w:eastAsia="HGGothicE" w:hAnsi="Mark Pro" w:cs="Arial"/>
        </w:rPr>
        <w:t>appreciated the flexibility this proposal offers – as set out in responses to Q19. A few respondents also highlighted that this will be a crucial form of income for heat pump manufacturers. An energy supplier agreed with the proposal but questioned the benefits of allowing non-obligated parties to carry over credits.</w:t>
      </w:r>
    </w:p>
    <w:p w14:paraId="32829AB1" w14:textId="57754E64" w:rsidR="00523110" w:rsidRDefault="00523110" w:rsidP="00426E81">
      <w:pPr>
        <w:spacing w:after="120" w:line="276" w:lineRule="auto"/>
        <w:rPr>
          <w:rFonts w:ascii="Mark Pro" w:eastAsia="HGGothicE" w:hAnsi="Mark Pro" w:cs="Arial"/>
        </w:rPr>
      </w:pPr>
    </w:p>
    <w:p w14:paraId="4A4D4737" w14:textId="77777777" w:rsidR="00523110" w:rsidRDefault="00523110" w:rsidP="00426E81">
      <w:pPr>
        <w:spacing w:after="120" w:line="276" w:lineRule="auto"/>
        <w:rPr>
          <w:rFonts w:ascii="Mark Pro" w:eastAsia="HGGothicE" w:hAnsi="Mark Pro" w:cs="Arial"/>
        </w:rPr>
      </w:pPr>
    </w:p>
    <w:p w14:paraId="47693558" w14:textId="3F9FC8E9" w:rsidR="00D0347F" w:rsidRDefault="00D0347F" w:rsidP="00426E81">
      <w:pPr>
        <w:spacing w:after="120" w:line="276" w:lineRule="auto"/>
        <w:rPr>
          <w:rFonts w:ascii="Mark Pro" w:eastAsia="HGGothicE" w:hAnsi="Mark Pro" w:cs="Arial"/>
        </w:rPr>
      </w:pPr>
      <w:r w:rsidRPr="00D0347F">
        <w:rPr>
          <w:rFonts w:ascii="Mark Pro" w:eastAsia="HGGothicE" w:hAnsi="Mark Pro" w:cs="Arial"/>
        </w:rPr>
        <w:t xml:space="preserve">Most boiler manufacturers, oil and gas suppliers and half of trade associations </w:t>
      </w:r>
      <w:r>
        <w:rPr>
          <w:rFonts w:ascii="Mark Pro" w:eastAsia="HGGothicE" w:hAnsi="Mark Pro" w:cs="Arial"/>
        </w:rPr>
        <w:t xml:space="preserve">(16) </w:t>
      </w:r>
      <w:r w:rsidRPr="00D0347F">
        <w:rPr>
          <w:rFonts w:ascii="Mark Pro" w:eastAsia="HGGothicE" w:hAnsi="Mark Pro" w:cs="Arial"/>
        </w:rPr>
        <w:t xml:space="preserve">were strongly against the proposal. There was some concern that the proposal may lead to non-obligated heat pump manufacturers withholding credit supplies. A few respondents suggested that non-obligated parties should be mandated to sell their credits to prevent this. One respondent suggested gradually tapering off the carry-over amount after the </w:t>
      </w:r>
      <w:r>
        <w:rPr>
          <w:rFonts w:ascii="Mark Pro" w:eastAsia="HGGothicE" w:hAnsi="Mark Pro" w:cs="Arial"/>
        </w:rPr>
        <w:t>scheme's first year</w:t>
      </w:r>
      <w:r w:rsidRPr="00D0347F">
        <w:rPr>
          <w:rFonts w:ascii="Mark Pro" w:eastAsia="HGGothicE" w:hAnsi="Mark Pro" w:cs="Arial"/>
        </w:rPr>
        <w:t>.</w:t>
      </w:r>
    </w:p>
    <w:p w14:paraId="7ED65D27" w14:textId="24C5A73C" w:rsidR="00D0347F" w:rsidRPr="00D0347F" w:rsidRDefault="00D0347F" w:rsidP="00426E81">
      <w:pPr>
        <w:spacing w:after="120" w:line="276" w:lineRule="auto"/>
        <w:rPr>
          <w:rFonts w:ascii="Mark Pro" w:eastAsia="HGGothicE" w:hAnsi="Mark Pro" w:cs="Arial"/>
          <w:u w:val="single"/>
        </w:rPr>
      </w:pPr>
      <w:r w:rsidRPr="00D0347F">
        <w:rPr>
          <w:rFonts w:ascii="Mark Pro" w:eastAsia="HGGothicE" w:hAnsi="Mark Pro" w:cs="Arial"/>
          <w:u w:val="single"/>
        </w:rPr>
        <w:t>Government response</w:t>
      </w:r>
      <w:r>
        <w:rPr>
          <w:rFonts w:ascii="Mark Pro" w:eastAsia="HGGothicE" w:hAnsi="Mark Pro" w:cs="Arial"/>
          <w:u w:val="single"/>
        </w:rPr>
        <w:t xml:space="preserve"> to Q19 and Q20</w:t>
      </w:r>
    </w:p>
    <w:p w14:paraId="319DAD78" w14:textId="561FAA18" w:rsidR="00457026" w:rsidRDefault="00523110" w:rsidP="00426E81">
      <w:pPr>
        <w:spacing w:after="120" w:line="276" w:lineRule="auto"/>
        <w:rPr>
          <w:rFonts w:ascii="Mark Pro" w:eastAsia="HGGothicE" w:hAnsi="Mark Pro" w:cs="Arial"/>
        </w:rPr>
      </w:pPr>
      <w:r>
        <w:rPr>
          <w:rFonts w:ascii="Mark Pro" w:eastAsia="HGGothicE" w:hAnsi="Mark Pro" w:cs="Arial"/>
        </w:rPr>
        <w:t xml:space="preserve">After considering feedback on credit trading in the scheme, the government </w:t>
      </w:r>
      <w:r w:rsidR="00457026" w:rsidRPr="00457026">
        <w:rPr>
          <w:rFonts w:ascii="Mark Pro" w:eastAsia="HGGothicE" w:hAnsi="Mark Pro" w:cs="Arial"/>
        </w:rPr>
        <w:t xml:space="preserve">has revised the credit carry-forward limits. Previously, up to 25% of credits could be carried over; now, this is limited to 10% for both obligated and non-obligated heat pump manufacturers. </w:t>
      </w:r>
    </w:p>
    <w:p w14:paraId="766F6CC8" w14:textId="376BB7DA" w:rsidR="00457026" w:rsidRDefault="00457026" w:rsidP="00426E81">
      <w:pPr>
        <w:spacing w:after="120" w:line="276" w:lineRule="auto"/>
        <w:rPr>
          <w:rFonts w:ascii="Mark Pro" w:eastAsia="HGGothicE" w:hAnsi="Mark Pro" w:cs="Arial"/>
        </w:rPr>
      </w:pPr>
      <w:r w:rsidRPr="00457026">
        <w:rPr>
          <w:rFonts w:ascii="Mark Pro" w:eastAsia="HGGothicE" w:hAnsi="Mark Pro" w:cs="Arial"/>
        </w:rPr>
        <w:t xml:space="preserve">This change aims to enhance credit availability in the trading market and prevent hoarding. Selling credits remains optional for manufacturers, avoiding increased administrative costs and the need for the scheme administrator's active enforcement role in </w:t>
      </w:r>
      <w:r w:rsidR="00523110">
        <w:rPr>
          <w:rFonts w:ascii="Mark Pro" w:eastAsia="HGGothicE" w:hAnsi="Mark Pro" w:cs="Arial"/>
        </w:rPr>
        <w:t>credit trading</w:t>
      </w:r>
      <w:r w:rsidRPr="00457026">
        <w:rPr>
          <w:rFonts w:ascii="Mark Pro" w:eastAsia="HGGothicE" w:hAnsi="Mark Pro" w:cs="Arial"/>
        </w:rPr>
        <w:t xml:space="preserve">. </w:t>
      </w:r>
    </w:p>
    <w:p w14:paraId="0834CF2A" w14:textId="503C7CD8" w:rsidR="00D0347F" w:rsidRDefault="00457026" w:rsidP="00426E81">
      <w:pPr>
        <w:spacing w:after="120" w:line="276" w:lineRule="auto"/>
        <w:rPr>
          <w:rFonts w:ascii="Mark Pro" w:eastAsia="HGGothicE" w:hAnsi="Mark Pro" w:cs="Arial"/>
        </w:rPr>
      </w:pPr>
      <w:r w:rsidRPr="00457026">
        <w:rPr>
          <w:rFonts w:ascii="Mark Pro" w:eastAsia="HGGothicE" w:hAnsi="Mark Pro" w:cs="Arial"/>
        </w:rPr>
        <w:t xml:space="preserve">These adjustments are </w:t>
      </w:r>
      <w:r w:rsidR="00523110">
        <w:rPr>
          <w:rFonts w:ascii="Mark Pro" w:eastAsia="HGGothicE" w:hAnsi="Mark Pro" w:cs="Arial"/>
        </w:rPr>
        <w:t>considered</w:t>
      </w:r>
      <w:r w:rsidRPr="00457026">
        <w:rPr>
          <w:rFonts w:ascii="Mark Pro" w:eastAsia="HGGothicE" w:hAnsi="Mark Pro" w:cs="Arial"/>
        </w:rPr>
        <w:t xml:space="preserve"> a balanced approach, but the government remains open to further amendments in response to changing market conditions in future scheme years.</w:t>
      </w:r>
    </w:p>
    <w:p w14:paraId="72684C2A" w14:textId="77777777" w:rsidR="00523110" w:rsidRDefault="00523110" w:rsidP="00426E81">
      <w:pPr>
        <w:spacing w:after="120" w:line="276" w:lineRule="auto"/>
        <w:rPr>
          <w:rFonts w:ascii="Mark Pro" w:eastAsia="HGGothicE" w:hAnsi="Mark Pro" w:cs="Arial"/>
          <w:b/>
          <w:bCs/>
        </w:rPr>
      </w:pPr>
    </w:p>
    <w:p w14:paraId="1F832833" w14:textId="11B1F09C" w:rsidR="00D0347F" w:rsidRPr="006F1594" w:rsidRDefault="00D0347F" w:rsidP="00426E81">
      <w:pPr>
        <w:spacing w:after="120" w:line="276" w:lineRule="auto"/>
        <w:rPr>
          <w:rFonts w:ascii="Mark Pro" w:eastAsia="HGGothicE" w:hAnsi="Mark Pro" w:cs="Arial"/>
        </w:rPr>
      </w:pPr>
      <w:r w:rsidRPr="00457026">
        <w:rPr>
          <w:rFonts w:ascii="Mark Pro" w:eastAsia="HGGothicE" w:hAnsi="Mark Pro" w:cs="Arial"/>
          <w:b/>
          <w:bCs/>
        </w:rPr>
        <w:t>QUESTION 21:</w:t>
      </w:r>
      <w:r w:rsidR="006F1594">
        <w:rPr>
          <w:rFonts w:ascii="Mark Pro" w:eastAsia="HGGothicE" w:hAnsi="Mark Pro" w:cs="Arial"/>
          <w:b/>
          <w:bCs/>
        </w:rPr>
        <w:t xml:space="preserve"> </w:t>
      </w:r>
      <w:r w:rsidR="006F1594" w:rsidRPr="006F1594">
        <w:rPr>
          <w:rFonts w:ascii="Mark Pro" w:eastAsia="HGGothicE" w:hAnsi="Mark Pro" w:cs="Arial"/>
        </w:rPr>
        <w:t>Do you agree with the proposal to allow obligated manufacturers to carry forward up to 25% of their target (or up to a target of 300 credits, if higher) to the following obligation period?</w:t>
      </w:r>
    </w:p>
    <w:p w14:paraId="3457A2F2" w14:textId="77777777" w:rsidR="00D0347F" w:rsidRPr="00BC3D9E" w:rsidRDefault="00D0347F"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2112FCA0" w14:textId="77777777" w:rsidR="00D0347F" w:rsidRPr="00BC3D9E" w:rsidRDefault="00D0347F"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2C6B8846" w14:textId="709202CA" w:rsidR="00D0347F" w:rsidRPr="00A62C0C" w:rsidRDefault="006F1594" w:rsidP="00426E81">
      <w:pPr>
        <w:spacing w:after="120" w:line="276" w:lineRule="auto"/>
        <w:rPr>
          <w:rFonts w:ascii="Mark Pro" w:eastAsia="HGGothicE" w:hAnsi="Mark Pro" w:cs="Arial"/>
        </w:rPr>
      </w:pPr>
      <w:r w:rsidRPr="006F1594">
        <w:rPr>
          <w:rFonts w:ascii="Mark Pro" w:eastAsia="HGGothicE" w:hAnsi="Mark Pro" w:cs="Arial"/>
        </w:rPr>
        <w:t xml:space="preserve">Out of the respondents, 47 supported allowing manufacturers to carry forward up to 25% of their target, </w:t>
      </w:r>
      <w:r w:rsidR="00523110">
        <w:rPr>
          <w:rFonts w:ascii="Mark Pro" w:eastAsia="HGGothicE" w:hAnsi="Mark Pro" w:cs="Arial"/>
        </w:rPr>
        <w:t>recognising</w:t>
      </w:r>
      <w:r w:rsidRPr="006F1594">
        <w:rPr>
          <w:rFonts w:ascii="Mark Pro" w:eastAsia="HGGothicE" w:hAnsi="Mark Pro" w:cs="Arial"/>
        </w:rPr>
        <w:t xml:space="preserve"> the need for flexibility amid fluctuating heat pump sales and consumer demand. Some suggested gradually reducing this limit or capping carry-forward frequency. Of the </w:t>
      </w:r>
      <w:r w:rsidR="00523110">
        <w:rPr>
          <w:rFonts w:ascii="Mark Pro" w:eastAsia="HGGothicE" w:hAnsi="Mark Pro" w:cs="Arial"/>
        </w:rPr>
        <w:t>five</w:t>
      </w:r>
      <w:r w:rsidRPr="006F1594">
        <w:rPr>
          <w:rFonts w:ascii="Mark Pro" w:eastAsia="HGGothicE" w:hAnsi="Mark Pro" w:cs="Arial"/>
        </w:rPr>
        <w:t xml:space="preserve"> dissenters, two feared it might compromise the scheme's environmental credibility and delay market growth, while one advocated for a higher carry-forward allowance.</w:t>
      </w:r>
    </w:p>
    <w:p w14:paraId="5E5F67D9" w14:textId="5EB141C2" w:rsidR="00A62C0C" w:rsidRDefault="00523110" w:rsidP="00426E81">
      <w:pPr>
        <w:spacing w:after="120" w:line="276" w:lineRule="auto"/>
        <w:rPr>
          <w:rFonts w:ascii="Mark Pro" w:eastAsia="HGGothicE" w:hAnsi="Mark Pro" w:cs="Arial"/>
        </w:rPr>
      </w:pPr>
      <w:r>
        <w:rPr>
          <w:rFonts w:ascii="Mark Pro" w:eastAsia="HGGothicE" w:hAnsi="Mark Pro" w:cs="Arial"/>
        </w:rPr>
        <w:t>Government response: (See Q22)</w:t>
      </w:r>
    </w:p>
    <w:p w14:paraId="6B8F8B8A" w14:textId="77777777" w:rsidR="00523110" w:rsidRDefault="00523110" w:rsidP="00426E81">
      <w:pPr>
        <w:spacing w:after="120" w:line="276" w:lineRule="auto"/>
        <w:rPr>
          <w:rFonts w:ascii="Mark Pro" w:eastAsia="HGGothicE" w:hAnsi="Mark Pro" w:cs="Arial"/>
          <w:b/>
          <w:bCs/>
        </w:rPr>
      </w:pPr>
    </w:p>
    <w:p w14:paraId="148EFB42" w14:textId="77777777" w:rsidR="00523110" w:rsidRDefault="00523110" w:rsidP="00426E81">
      <w:pPr>
        <w:spacing w:after="120" w:line="276" w:lineRule="auto"/>
        <w:rPr>
          <w:rFonts w:ascii="Mark Pro" w:eastAsia="HGGothicE" w:hAnsi="Mark Pro" w:cs="Arial"/>
          <w:b/>
          <w:bCs/>
        </w:rPr>
      </w:pPr>
    </w:p>
    <w:p w14:paraId="43FBF113" w14:textId="77777777" w:rsidR="00523110" w:rsidRDefault="00523110" w:rsidP="00426E81">
      <w:pPr>
        <w:spacing w:after="120" w:line="276" w:lineRule="auto"/>
        <w:rPr>
          <w:rFonts w:ascii="Mark Pro" w:eastAsia="HGGothicE" w:hAnsi="Mark Pro" w:cs="Arial"/>
          <w:b/>
          <w:bCs/>
        </w:rPr>
      </w:pPr>
    </w:p>
    <w:p w14:paraId="7317C3F0" w14:textId="77777777" w:rsidR="00523110" w:rsidRDefault="00523110" w:rsidP="00426E81">
      <w:pPr>
        <w:spacing w:after="120" w:line="276" w:lineRule="auto"/>
        <w:rPr>
          <w:rFonts w:ascii="Mark Pro" w:eastAsia="HGGothicE" w:hAnsi="Mark Pro" w:cs="Arial"/>
          <w:b/>
          <w:bCs/>
        </w:rPr>
      </w:pPr>
    </w:p>
    <w:p w14:paraId="231B0783" w14:textId="77777777" w:rsidR="00523110" w:rsidRDefault="00523110" w:rsidP="00426E81">
      <w:pPr>
        <w:spacing w:after="120" w:line="276" w:lineRule="auto"/>
        <w:rPr>
          <w:rFonts w:ascii="Mark Pro" w:eastAsia="HGGothicE" w:hAnsi="Mark Pro" w:cs="Arial"/>
          <w:b/>
          <w:bCs/>
        </w:rPr>
      </w:pPr>
    </w:p>
    <w:p w14:paraId="638E37B3" w14:textId="2C81F6F8" w:rsidR="00D0347F" w:rsidRDefault="00D0347F" w:rsidP="00426E81">
      <w:pPr>
        <w:spacing w:after="120" w:line="276" w:lineRule="auto"/>
        <w:rPr>
          <w:rFonts w:ascii="Mark Pro" w:eastAsia="HGGothicE" w:hAnsi="Mark Pro" w:cs="Arial"/>
        </w:rPr>
      </w:pPr>
      <w:r w:rsidRPr="006F1594">
        <w:rPr>
          <w:rFonts w:ascii="Mark Pro" w:eastAsia="HGGothicE" w:hAnsi="Mark Pro" w:cs="Arial"/>
          <w:b/>
          <w:bCs/>
        </w:rPr>
        <w:lastRenderedPageBreak/>
        <w:t>QUESTION 22:</w:t>
      </w:r>
      <w:r>
        <w:rPr>
          <w:rFonts w:ascii="Mark Pro" w:eastAsia="HGGothicE" w:hAnsi="Mark Pro" w:cs="Arial"/>
        </w:rPr>
        <w:t xml:space="preserve"> </w:t>
      </w:r>
      <w:r w:rsidR="006F1594" w:rsidRPr="006F1594">
        <w:rPr>
          <w:rFonts w:ascii="Mark Pro" w:eastAsia="HGGothicE" w:hAnsi="Mark Pro" w:cs="Arial"/>
        </w:rPr>
        <w:t>Do you agree with the proposal to apply a modest disincentive to target carry-forward by multiplying the target amount carried forward by a factor of 1.2?</w:t>
      </w:r>
    </w:p>
    <w:p w14:paraId="30DE16C5" w14:textId="77777777" w:rsidR="00D0347F" w:rsidRPr="00BC3D9E" w:rsidRDefault="00D0347F"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531C4F78" w14:textId="77777777" w:rsidR="00D0347F" w:rsidRPr="00BC3D9E" w:rsidRDefault="00D0347F"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26694DE5" w14:textId="1774A180" w:rsidR="00D0347F" w:rsidRDefault="006F1594" w:rsidP="00426E81">
      <w:pPr>
        <w:spacing w:after="120" w:line="276" w:lineRule="auto"/>
        <w:rPr>
          <w:rFonts w:ascii="Mark Pro" w:eastAsia="HGGothicE" w:hAnsi="Mark Pro" w:cs="Arial"/>
        </w:rPr>
      </w:pPr>
      <w:r w:rsidRPr="006F1594">
        <w:rPr>
          <w:rFonts w:ascii="Mark Pro" w:eastAsia="HGGothicE" w:hAnsi="Mark Pro" w:cs="Arial"/>
        </w:rPr>
        <w:t>Of 53 responses to applying a 1.2 multiplier as a disincentive for target carry-forward, 27 disagreed, viewing it as overly punitive and complex. They feared it could reduce credit supply and impede investment. The 26 supporters believed it would motivate companies to meet targets, with some suggesting an annually increasing multiplier for greater disincentive.</w:t>
      </w:r>
    </w:p>
    <w:p w14:paraId="0E91BF41" w14:textId="72A5C0E4" w:rsidR="00D0347F" w:rsidRDefault="006F1594" w:rsidP="00426E81">
      <w:pPr>
        <w:spacing w:after="120" w:line="276" w:lineRule="auto"/>
        <w:rPr>
          <w:rFonts w:ascii="Mark Pro" w:eastAsia="HGGothicE" w:hAnsi="Mark Pro" w:cs="Arial"/>
          <w:u w:val="single"/>
        </w:rPr>
      </w:pPr>
      <w:r w:rsidRPr="006F1594">
        <w:rPr>
          <w:rFonts w:ascii="Mark Pro" w:eastAsia="HGGothicE" w:hAnsi="Mark Pro" w:cs="Arial"/>
          <w:u w:val="single"/>
        </w:rPr>
        <w:t>Government response to questions 21 and 22</w:t>
      </w:r>
    </w:p>
    <w:p w14:paraId="79BE6235" w14:textId="77777777" w:rsidR="00523110" w:rsidRDefault="006F1594" w:rsidP="00426E81">
      <w:pPr>
        <w:spacing w:after="120" w:line="276" w:lineRule="auto"/>
        <w:rPr>
          <w:rFonts w:ascii="Mark Pro" w:eastAsia="HGGothicE" w:hAnsi="Mark Pro" w:cs="Arial"/>
        </w:rPr>
      </w:pPr>
      <w:r w:rsidRPr="006F1594">
        <w:rPr>
          <w:rFonts w:ascii="Mark Pro" w:eastAsia="HGGothicE" w:hAnsi="Mark Pro" w:cs="Arial"/>
        </w:rPr>
        <w:t xml:space="preserve">The government plans to implement Option 1 target levels, deemed reasonable for the market's initial two years while allowing for later acceleration. Flexibility measures like increased target carry-forward (now 35% for the first two years) and credit carry-over aid target achievement. </w:t>
      </w:r>
    </w:p>
    <w:p w14:paraId="376EC08E" w14:textId="77777777" w:rsidR="00523110" w:rsidRDefault="006F1594" w:rsidP="00426E81">
      <w:pPr>
        <w:spacing w:after="120" w:line="276" w:lineRule="auto"/>
        <w:rPr>
          <w:rFonts w:ascii="Mark Pro" w:eastAsia="HGGothicE" w:hAnsi="Mark Pro" w:cs="Arial"/>
        </w:rPr>
      </w:pPr>
      <w:r w:rsidRPr="006F1594">
        <w:rPr>
          <w:rFonts w:ascii="Mark Pro" w:eastAsia="HGGothicE" w:hAnsi="Mark Pro" w:cs="Arial"/>
        </w:rPr>
        <w:t>Responding to feedback, new-build fossil fuel boiler sales will be excluded from target calculations, slightly lowering obligations. The government recogni</w:t>
      </w:r>
      <w:r w:rsidR="00523110">
        <w:rPr>
          <w:rFonts w:ascii="Mark Pro" w:eastAsia="HGGothicE" w:hAnsi="Mark Pro" w:cs="Arial"/>
        </w:rPr>
        <w:t>s</w:t>
      </w:r>
      <w:r w:rsidRPr="006F1594">
        <w:rPr>
          <w:rFonts w:ascii="Mark Pro" w:eastAsia="HGGothicE" w:hAnsi="Mark Pro" w:cs="Arial"/>
        </w:rPr>
        <w:t xml:space="preserve">es the need for early flexibility and will review limitations on carry-forward options over time. </w:t>
      </w:r>
    </w:p>
    <w:p w14:paraId="5BE5EBB4" w14:textId="2ACA8C22" w:rsidR="006F1594" w:rsidRPr="006F1594" w:rsidRDefault="006F1594" w:rsidP="00426E81">
      <w:pPr>
        <w:spacing w:after="120" w:line="276" w:lineRule="auto"/>
        <w:rPr>
          <w:rFonts w:ascii="Mark Pro" w:eastAsia="HGGothicE" w:hAnsi="Mark Pro" w:cs="Arial"/>
        </w:rPr>
      </w:pPr>
      <w:r w:rsidRPr="006F1594">
        <w:rPr>
          <w:rFonts w:ascii="Mark Pro" w:eastAsia="HGGothicE" w:hAnsi="Mark Pro" w:cs="Arial"/>
        </w:rPr>
        <w:t xml:space="preserve">The proposed 'multiplier' on target carry-forward won't be implemented initially due to concerns about being overly </w:t>
      </w:r>
      <w:proofErr w:type="gramStart"/>
      <w:r w:rsidRPr="006F1594">
        <w:rPr>
          <w:rFonts w:ascii="Mark Pro" w:eastAsia="HGGothicE" w:hAnsi="Mark Pro" w:cs="Arial"/>
        </w:rPr>
        <w:t>punitive, but</w:t>
      </w:r>
      <w:proofErr w:type="gramEnd"/>
      <w:r w:rsidRPr="006F1594">
        <w:rPr>
          <w:rFonts w:ascii="Mark Pro" w:eastAsia="HGGothicE" w:hAnsi="Mark Pro" w:cs="Arial"/>
        </w:rPr>
        <w:t xml:space="preserve"> may be considered for later years. Targets for the third year will be confirmed six months in advance.</w:t>
      </w:r>
    </w:p>
    <w:p w14:paraId="0F8E5640" w14:textId="77777777" w:rsidR="00523110" w:rsidRDefault="00523110" w:rsidP="00426E81">
      <w:pPr>
        <w:spacing w:after="120" w:line="276" w:lineRule="auto"/>
        <w:rPr>
          <w:rFonts w:ascii="Mark Pro" w:eastAsia="HGGothicE" w:hAnsi="Mark Pro" w:cs="Arial"/>
          <w:b/>
          <w:bCs/>
        </w:rPr>
      </w:pPr>
    </w:p>
    <w:p w14:paraId="3630F6E5" w14:textId="2EDDD703" w:rsidR="00A62C0C" w:rsidRPr="00A62C0C" w:rsidRDefault="00A62C0C" w:rsidP="00426E81">
      <w:pPr>
        <w:spacing w:after="120" w:line="276" w:lineRule="auto"/>
        <w:rPr>
          <w:rFonts w:ascii="Mark Pro" w:eastAsia="HGGothicE" w:hAnsi="Mark Pro" w:cs="Arial"/>
        </w:rPr>
      </w:pPr>
      <w:r w:rsidRPr="00E954B1">
        <w:rPr>
          <w:rFonts w:ascii="Mark Pro" w:eastAsia="HGGothicE" w:hAnsi="Mark Pro" w:cs="Arial"/>
          <w:b/>
          <w:bCs/>
        </w:rPr>
        <w:t>QUESTION 23:</w:t>
      </w:r>
      <w:r w:rsidRPr="00A62C0C">
        <w:rPr>
          <w:rFonts w:ascii="Mark Pro" w:eastAsia="HGGothicE" w:hAnsi="Mark Pro" w:cs="Arial"/>
        </w:rPr>
        <w:t xml:space="preserve"> Do you agree with the proposed approach to payments-in-lieu of missed targets as set out above?</w:t>
      </w:r>
    </w:p>
    <w:p w14:paraId="016B1EA3" w14:textId="5D165DFE" w:rsidR="00F24673" w:rsidRPr="00F24673" w:rsidRDefault="00F24673" w:rsidP="00426E81">
      <w:pPr>
        <w:pStyle w:val="Default"/>
        <w:numPr>
          <w:ilvl w:val="0"/>
          <w:numId w:val="24"/>
        </w:numPr>
        <w:spacing w:after="120" w:line="276" w:lineRule="auto"/>
        <w:ind w:left="714" w:hanging="357"/>
        <w:rPr>
          <w:rFonts w:ascii="Mark Pro" w:eastAsia="HGGothicE" w:hAnsi="Mark Pro"/>
          <w:color w:val="auto"/>
          <w:sz w:val="22"/>
          <w:szCs w:val="22"/>
        </w:rPr>
      </w:pPr>
      <w:r w:rsidRPr="00F24673">
        <w:rPr>
          <w:rFonts w:ascii="Mark Pro" w:eastAsia="HGGothicE" w:hAnsi="Mark Pro"/>
          <w:b/>
          <w:bCs/>
          <w:color w:val="auto"/>
          <w:sz w:val="22"/>
          <w:szCs w:val="22"/>
        </w:rPr>
        <w:t xml:space="preserve">SNIPEF </w:t>
      </w:r>
      <w:r w:rsidR="00523110">
        <w:rPr>
          <w:rFonts w:ascii="Mark Pro" w:eastAsia="HGGothicE" w:hAnsi="Mark Pro"/>
          <w:b/>
          <w:bCs/>
          <w:color w:val="auto"/>
          <w:sz w:val="22"/>
          <w:szCs w:val="22"/>
        </w:rPr>
        <w:t>submission</w:t>
      </w:r>
      <w:r w:rsidRPr="00F24673">
        <w:rPr>
          <w:rFonts w:ascii="Mark Pro" w:eastAsia="HGGothicE" w:hAnsi="Mark Pro"/>
          <w:b/>
          <w:bCs/>
          <w:color w:val="auto"/>
          <w:sz w:val="22"/>
          <w:szCs w:val="22"/>
        </w:rPr>
        <w:t>:</w:t>
      </w:r>
      <w:r w:rsidRPr="00F24673">
        <w:rPr>
          <w:rFonts w:ascii="Mark Pro" w:eastAsia="HGGothicE" w:hAnsi="Mark Pro"/>
          <w:color w:val="auto"/>
          <w:sz w:val="22"/>
          <w:szCs w:val="22"/>
        </w:rPr>
        <w:t xml:space="preserve"> SNIPEF disagreed with the proposed approach to payments-in-lieu of missed targets. They argued that manufacturers do not control consumer demand for heating systems and that charging manufacturers for missed targets would not address consumer demands. SNIPEF suggested that any such payments should be reinvested into the supply chain.</w:t>
      </w:r>
    </w:p>
    <w:p w14:paraId="10EEEB98" w14:textId="3AD39EF8" w:rsidR="00F24673" w:rsidRDefault="00F24673" w:rsidP="00426E81">
      <w:pPr>
        <w:pStyle w:val="Default"/>
        <w:numPr>
          <w:ilvl w:val="0"/>
          <w:numId w:val="24"/>
        </w:numPr>
        <w:spacing w:after="120" w:line="276" w:lineRule="auto"/>
        <w:ind w:left="714" w:hanging="357"/>
        <w:rPr>
          <w:rFonts w:ascii="Mark Pro" w:eastAsia="HGGothicE" w:hAnsi="Mark Pro"/>
          <w:color w:val="auto"/>
          <w:sz w:val="22"/>
          <w:szCs w:val="22"/>
        </w:rPr>
      </w:pPr>
      <w:r w:rsidRPr="00F24673">
        <w:rPr>
          <w:rFonts w:ascii="Mark Pro" w:eastAsia="HGGothicE" w:hAnsi="Mark Pro"/>
          <w:b/>
          <w:bCs/>
          <w:color w:val="auto"/>
          <w:sz w:val="22"/>
          <w:szCs w:val="22"/>
        </w:rPr>
        <w:t xml:space="preserve">Consultation </w:t>
      </w:r>
      <w:r w:rsidR="00523110">
        <w:rPr>
          <w:rFonts w:ascii="Mark Pro" w:eastAsia="HGGothicE" w:hAnsi="Mark Pro"/>
          <w:b/>
          <w:bCs/>
          <w:color w:val="auto"/>
          <w:sz w:val="22"/>
          <w:szCs w:val="22"/>
        </w:rPr>
        <w:t>s</w:t>
      </w:r>
      <w:r w:rsidRPr="00F24673">
        <w:rPr>
          <w:rFonts w:ascii="Mark Pro" w:eastAsia="HGGothicE" w:hAnsi="Mark Pro"/>
          <w:b/>
          <w:bCs/>
          <w:color w:val="auto"/>
          <w:sz w:val="22"/>
          <w:szCs w:val="22"/>
        </w:rPr>
        <w:t>ummary</w:t>
      </w:r>
      <w:r w:rsidRPr="00F24673">
        <w:rPr>
          <w:rFonts w:ascii="Mark Pro" w:eastAsia="HGGothicE" w:hAnsi="Mark Pro"/>
          <w:color w:val="auto"/>
          <w:sz w:val="22"/>
          <w:szCs w:val="22"/>
        </w:rPr>
        <w:t xml:space="preserve">: A majority (27 out of 47) agreed with the need for a payment-in-lieu to </w:t>
      </w:r>
      <w:r w:rsidR="00523110">
        <w:rPr>
          <w:rFonts w:ascii="Mark Pro" w:eastAsia="HGGothicE" w:hAnsi="Mark Pro"/>
          <w:color w:val="auto"/>
          <w:sz w:val="22"/>
          <w:szCs w:val="22"/>
        </w:rPr>
        <w:t>incentivise</w:t>
      </w:r>
      <w:r w:rsidRPr="00F24673">
        <w:rPr>
          <w:rFonts w:ascii="Mark Pro" w:eastAsia="HGGothicE" w:hAnsi="Mark Pro"/>
          <w:color w:val="auto"/>
          <w:sz w:val="22"/>
          <w:szCs w:val="22"/>
        </w:rPr>
        <w:t xml:space="preserve"> compliance, with varied opinions on the proposed level of £5,000 per missing credit. Fifteen respondents were against the proposal, </w:t>
      </w:r>
      <w:r w:rsidR="00523110">
        <w:rPr>
          <w:rFonts w:ascii="Mark Pro" w:eastAsia="HGGothicE" w:hAnsi="Mark Pro"/>
          <w:color w:val="auto"/>
          <w:sz w:val="22"/>
          <w:szCs w:val="22"/>
        </w:rPr>
        <w:t>concerned</w:t>
      </w:r>
      <w:r w:rsidRPr="00F24673">
        <w:rPr>
          <w:rFonts w:ascii="Mark Pro" w:eastAsia="HGGothicE" w:hAnsi="Mark Pro"/>
          <w:color w:val="auto"/>
          <w:sz w:val="22"/>
          <w:szCs w:val="22"/>
        </w:rPr>
        <w:t xml:space="preserve"> about the impact on funds for heat pump manufacturing and job losses.</w:t>
      </w:r>
    </w:p>
    <w:p w14:paraId="63865E8B" w14:textId="34E5DB28" w:rsidR="00523110" w:rsidRDefault="00523110" w:rsidP="00523110">
      <w:pPr>
        <w:pStyle w:val="Default"/>
        <w:spacing w:after="120" w:line="276" w:lineRule="auto"/>
        <w:rPr>
          <w:rFonts w:ascii="Mark Pro" w:eastAsia="HGGothicE" w:hAnsi="Mark Pro"/>
          <w:color w:val="auto"/>
          <w:sz w:val="22"/>
          <w:szCs w:val="22"/>
        </w:rPr>
      </w:pPr>
    </w:p>
    <w:p w14:paraId="71154D25" w14:textId="593D6672" w:rsidR="00523110" w:rsidRDefault="00523110" w:rsidP="00523110">
      <w:pPr>
        <w:pStyle w:val="Default"/>
        <w:spacing w:after="120" w:line="276" w:lineRule="auto"/>
        <w:rPr>
          <w:rFonts w:ascii="Mark Pro" w:eastAsia="HGGothicE" w:hAnsi="Mark Pro"/>
          <w:color w:val="auto"/>
          <w:sz w:val="22"/>
          <w:szCs w:val="22"/>
        </w:rPr>
      </w:pPr>
    </w:p>
    <w:p w14:paraId="239013BC" w14:textId="77777777" w:rsidR="00523110" w:rsidRPr="00F24673" w:rsidRDefault="00523110" w:rsidP="00523110">
      <w:pPr>
        <w:pStyle w:val="Default"/>
        <w:spacing w:after="120" w:line="276" w:lineRule="auto"/>
        <w:rPr>
          <w:rFonts w:ascii="Mark Pro" w:eastAsia="HGGothicE" w:hAnsi="Mark Pro"/>
          <w:color w:val="auto"/>
          <w:sz w:val="22"/>
          <w:szCs w:val="22"/>
        </w:rPr>
      </w:pPr>
    </w:p>
    <w:p w14:paraId="7F1DE115" w14:textId="75726022" w:rsidR="00F24673" w:rsidRPr="00F24673" w:rsidRDefault="00F24673" w:rsidP="00426E81">
      <w:pPr>
        <w:pStyle w:val="Default"/>
        <w:numPr>
          <w:ilvl w:val="0"/>
          <w:numId w:val="24"/>
        </w:numPr>
        <w:spacing w:after="120" w:line="276" w:lineRule="auto"/>
        <w:ind w:left="714" w:hanging="357"/>
        <w:rPr>
          <w:rFonts w:ascii="Mark Pro" w:eastAsia="HGGothicE" w:hAnsi="Mark Pro"/>
          <w:color w:val="auto"/>
          <w:sz w:val="22"/>
          <w:szCs w:val="22"/>
        </w:rPr>
      </w:pPr>
      <w:r w:rsidRPr="00F24673">
        <w:rPr>
          <w:rFonts w:ascii="Mark Pro" w:eastAsia="HGGothicE" w:hAnsi="Mark Pro"/>
          <w:b/>
          <w:bCs/>
          <w:color w:val="auto"/>
          <w:sz w:val="22"/>
          <w:szCs w:val="22"/>
        </w:rPr>
        <w:t>Government Response</w:t>
      </w:r>
      <w:r w:rsidRPr="00F24673">
        <w:rPr>
          <w:rFonts w:ascii="Mark Pro" w:eastAsia="HGGothicE" w:hAnsi="Mark Pro"/>
          <w:color w:val="auto"/>
          <w:sz w:val="22"/>
          <w:szCs w:val="22"/>
        </w:rPr>
        <w:t xml:space="preserve">: The government </w:t>
      </w:r>
      <w:r w:rsidR="00523110">
        <w:rPr>
          <w:rFonts w:ascii="Mark Pro" w:eastAsia="HGGothicE" w:hAnsi="Mark Pro"/>
          <w:color w:val="auto"/>
          <w:sz w:val="22"/>
          <w:szCs w:val="22"/>
        </w:rPr>
        <w:t xml:space="preserve">has </w:t>
      </w:r>
      <w:r w:rsidRPr="00F24673">
        <w:rPr>
          <w:rFonts w:ascii="Mark Pro" w:eastAsia="HGGothicE" w:hAnsi="Mark Pro"/>
          <w:color w:val="auto"/>
          <w:sz w:val="22"/>
          <w:szCs w:val="22"/>
        </w:rPr>
        <w:t xml:space="preserve">decided to require payments-in-lieu for missed targets, </w:t>
      </w:r>
      <w:r w:rsidR="00523110">
        <w:rPr>
          <w:rFonts w:ascii="Mark Pro" w:eastAsia="HGGothicE" w:hAnsi="Mark Pro"/>
          <w:color w:val="auto"/>
          <w:sz w:val="22"/>
          <w:szCs w:val="22"/>
        </w:rPr>
        <w:t>which aligns</w:t>
      </w:r>
      <w:r w:rsidRPr="00F24673">
        <w:rPr>
          <w:rFonts w:ascii="Mark Pro" w:eastAsia="HGGothicE" w:hAnsi="Mark Pro"/>
          <w:color w:val="auto"/>
          <w:sz w:val="22"/>
          <w:szCs w:val="22"/>
        </w:rPr>
        <w:t xml:space="preserve"> with </w:t>
      </w:r>
      <w:r w:rsidR="00523110">
        <w:rPr>
          <w:rFonts w:ascii="Mark Pro" w:eastAsia="HGGothicE" w:hAnsi="Mark Pro"/>
          <w:color w:val="auto"/>
          <w:sz w:val="22"/>
          <w:szCs w:val="22"/>
        </w:rPr>
        <w:t>most</w:t>
      </w:r>
      <w:r w:rsidRPr="00F24673">
        <w:rPr>
          <w:rFonts w:ascii="Mark Pro" w:eastAsia="HGGothicE" w:hAnsi="Mark Pro"/>
          <w:color w:val="auto"/>
          <w:sz w:val="22"/>
          <w:szCs w:val="22"/>
        </w:rPr>
        <w:t xml:space="preserve"> responses. They reduced the proposed payment from £5,000 to £3,000 per missing credit to mitigate financial impacts on manufacturers. The government stated that the collected money would go to the Consolidated Fund and not be </w:t>
      </w:r>
      <w:r w:rsidR="00523110">
        <w:rPr>
          <w:rFonts w:ascii="Mark Pro" w:eastAsia="HGGothicE" w:hAnsi="Mark Pro"/>
          <w:color w:val="auto"/>
          <w:sz w:val="22"/>
          <w:szCs w:val="22"/>
        </w:rPr>
        <w:t>reinvested explicitly</w:t>
      </w:r>
      <w:r w:rsidRPr="00F24673">
        <w:rPr>
          <w:rFonts w:ascii="Mark Pro" w:eastAsia="HGGothicE" w:hAnsi="Mark Pro"/>
          <w:color w:val="auto"/>
          <w:sz w:val="22"/>
          <w:szCs w:val="22"/>
        </w:rPr>
        <w:t xml:space="preserve"> in heat </w:t>
      </w:r>
      <w:r w:rsidR="00523110">
        <w:rPr>
          <w:rFonts w:ascii="Mark Pro" w:eastAsia="HGGothicE" w:hAnsi="Mark Pro"/>
          <w:color w:val="auto"/>
          <w:sz w:val="22"/>
          <w:szCs w:val="22"/>
        </w:rPr>
        <w:t>decarbonisation</w:t>
      </w:r>
      <w:r w:rsidRPr="00F24673">
        <w:rPr>
          <w:rFonts w:ascii="Mark Pro" w:eastAsia="HGGothicE" w:hAnsi="Mark Pro"/>
          <w:color w:val="auto"/>
          <w:sz w:val="22"/>
          <w:szCs w:val="22"/>
        </w:rPr>
        <w:t xml:space="preserve"> policies. The Environment Agency will manage and enforce the scheme, with penalties for various types of non-compliance.</w:t>
      </w:r>
    </w:p>
    <w:p w14:paraId="125A1449" w14:textId="15B50D32" w:rsidR="00F24673" w:rsidRPr="00F24673" w:rsidRDefault="00F24673" w:rsidP="00426E81">
      <w:pPr>
        <w:pStyle w:val="Default"/>
        <w:spacing w:after="120" w:line="276" w:lineRule="auto"/>
        <w:rPr>
          <w:rFonts w:ascii="Mark Pro" w:eastAsia="HGGothicE" w:hAnsi="Mark Pro"/>
          <w:color w:val="auto"/>
          <w:sz w:val="22"/>
          <w:szCs w:val="22"/>
        </w:rPr>
      </w:pPr>
      <w:r w:rsidRPr="00F24673">
        <w:rPr>
          <w:rFonts w:ascii="Mark Pro" w:eastAsia="HGGothicE" w:hAnsi="Mark Pro"/>
          <w:b/>
          <w:bCs/>
          <w:color w:val="auto"/>
          <w:sz w:val="22"/>
          <w:szCs w:val="22"/>
        </w:rPr>
        <w:t>Disagreement</w:t>
      </w:r>
      <w:r w:rsidR="00523110">
        <w:rPr>
          <w:rFonts w:ascii="Mark Pro" w:eastAsia="HGGothicE" w:hAnsi="Mark Pro"/>
          <w:b/>
          <w:bCs/>
          <w:color w:val="auto"/>
          <w:sz w:val="22"/>
          <w:szCs w:val="22"/>
        </w:rPr>
        <w:t xml:space="preserve"> with SNIPEF’s submission</w:t>
      </w:r>
    </w:p>
    <w:p w14:paraId="478CF163" w14:textId="37EF723F" w:rsidR="00D0211F" w:rsidRDefault="00D0211F" w:rsidP="00426E81">
      <w:pPr>
        <w:pStyle w:val="Default"/>
        <w:spacing w:after="120" w:line="276" w:lineRule="auto"/>
        <w:rPr>
          <w:rFonts w:ascii="Mark Pro" w:eastAsia="HGGothicE" w:hAnsi="Mark Pro"/>
          <w:color w:val="auto"/>
          <w:sz w:val="22"/>
          <w:szCs w:val="22"/>
          <w:u w:val="single"/>
        </w:rPr>
      </w:pPr>
    </w:p>
    <w:p w14:paraId="77FEB326" w14:textId="4390C222" w:rsidR="00D0347F" w:rsidRPr="00523110" w:rsidRDefault="00D0347F" w:rsidP="00426E81">
      <w:pPr>
        <w:pStyle w:val="Default"/>
        <w:spacing w:after="120" w:line="276" w:lineRule="auto"/>
        <w:rPr>
          <w:rFonts w:ascii="Mark Pro" w:eastAsia="HGGothicE" w:hAnsi="Mark Pro"/>
          <w:color w:val="auto"/>
          <w:sz w:val="22"/>
          <w:szCs w:val="22"/>
        </w:rPr>
      </w:pPr>
      <w:r w:rsidRPr="00457026">
        <w:rPr>
          <w:rFonts w:ascii="Mark Pro" w:eastAsia="HGGothicE" w:hAnsi="Mark Pro"/>
          <w:b/>
          <w:bCs/>
          <w:color w:val="auto"/>
          <w:sz w:val="22"/>
          <w:szCs w:val="22"/>
        </w:rPr>
        <w:t>QUESTION 24</w:t>
      </w:r>
      <w:r w:rsidR="00457026">
        <w:rPr>
          <w:rFonts w:ascii="Mark Pro" w:eastAsia="HGGothicE" w:hAnsi="Mark Pro"/>
          <w:b/>
          <w:bCs/>
          <w:color w:val="auto"/>
          <w:sz w:val="22"/>
          <w:szCs w:val="22"/>
        </w:rPr>
        <w:t xml:space="preserve">: </w:t>
      </w:r>
      <w:r w:rsidR="00457026" w:rsidRPr="00523110">
        <w:rPr>
          <w:rFonts w:ascii="Mark Pro" w:eastAsia="HGGothicE" w:hAnsi="Mark Pro"/>
          <w:color w:val="auto"/>
          <w:sz w:val="22"/>
          <w:szCs w:val="22"/>
        </w:rPr>
        <w:t>Do you agree with the approach to compliance and enforcement set out above?</w:t>
      </w:r>
    </w:p>
    <w:p w14:paraId="368C6968" w14:textId="77777777" w:rsidR="00D0347F" w:rsidRPr="00BC3D9E" w:rsidRDefault="00D0347F" w:rsidP="00426E81">
      <w:pPr>
        <w:spacing w:after="120" w:line="276" w:lineRule="auto"/>
        <w:rPr>
          <w:rFonts w:ascii="Mark Pro" w:eastAsia="HGGothicE" w:hAnsi="Mark Pro" w:cs="Arial"/>
          <w:color w:val="FF0000"/>
        </w:rPr>
      </w:pPr>
      <w:r w:rsidRPr="00BC3D9E">
        <w:rPr>
          <w:rFonts w:ascii="Mark Pro" w:eastAsia="HGGothicE" w:hAnsi="Mark Pro" w:cs="Arial"/>
          <w:color w:val="FF0000"/>
        </w:rPr>
        <w:t>SNIPEF did not submit a response to this question.</w:t>
      </w:r>
    </w:p>
    <w:p w14:paraId="43B48C87" w14:textId="77777777" w:rsidR="00D0347F" w:rsidRPr="00BC3D9E" w:rsidRDefault="00D0347F" w:rsidP="00426E81">
      <w:pPr>
        <w:spacing w:after="120" w:line="276" w:lineRule="auto"/>
        <w:rPr>
          <w:rFonts w:ascii="Mark Pro" w:eastAsia="HGGothicE" w:hAnsi="Mark Pro" w:cs="Arial"/>
          <w:u w:val="single"/>
        </w:rPr>
      </w:pPr>
      <w:r w:rsidRPr="00BC3D9E">
        <w:rPr>
          <w:rFonts w:ascii="Mark Pro" w:eastAsia="HGGothicE" w:hAnsi="Mark Pro" w:cs="Arial"/>
          <w:u w:val="single"/>
        </w:rPr>
        <w:t>Consultation response</w:t>
      </w:r>
    </w:p>
    <w:p w14:paraId="5E4D2AC6" w14:textId="77777777" w:rsidR="00523110" w:rsidRDefault="00457026" w:rsidP="00426E81">
      <w:pPr>
        <w:pStyle w:val="Default"/>
        <w:spacing w:after="120" w:line="276" w:lineRule="auto"/>
        <w:rPr>
          <w:rFonts w:ascii="Mark Pro" w:eastAsia="HGGothicE" w:hAnsi="Mark Pro"/>
          <w:color w:val="auto"/>
          <w:sz w:val="22"/>
          <w:szCs w:val="22"/>
        </w:rPr>
      </w:pPr>
      <w:r w:rsidRPr="00457026">
        <w:rPr>
          <w:rFonts w:ascii="Mark Pro" w:eastAsia="HGGothicE" w:hAnsi="Mark Pro"/>
          <w:color w:val="auto"/>
          <w:sz w:val="22"/>
          <w:szCs w:val="22"/>
        </w:rPr>
        <w:t xml:space="preserve">Among 42 responses, 28 stakeholders agreed with the proposed compliance and enforcement approach, while 6 (primarily energy suppliers and smaller boiler manufacturers) opposed it. Eight respondents were neutral. The opposition often </w:t>
      </w:r>
      <w:r w:rsidR="00523110">
        <w:rPr>
          <w:rFonts w:ascii="Mark Pro" w:eastAsia="HGGothicE" w:hAnsi="Mark Pro"/>
          <w:color w:val="auto"/>
          <w:sz w:val="22"/>
          <w:szCs w:val="22"/>
        </w:rPr>
        <w:t>disagreed fundamentally</w:t>
      </w:r>
      <w:r w:rsidRPr="00457026">
        <w:rPr>
          <w:rFonts w:ascii="Mark Pro" w:eastAsia="HGGothicE" w:hAnsi="Mark Pro"/>
          <w:color w:val="auto"/>
          <w:sz w:val="22"/>
          <w:szCs w:val="22"/>
        </w:rPr>
        <w:t xml:space="preserve"> with the broader scheme rather than specific compliance issues. </w:t>
      </w:r>
    </w:p>
    <w:p w14:paraId="217EBBDE" w14:textId="217CC78B" w:rsidR="00D0347F" w:rsidRPr="00457026" w:rsidRDefault="00457026" w:rsidP="00426E81">
      <w:pPr>
        <w:pStyle w:val="Default"/>
        <w:spacing w:after="120" w:line="276" w:lineRule="auto"/>
        <w:rPr>
          <w:rFonts w:ascii="Mark Pro" w:eastAsia="HGGothicE" w:hAnsi="Mark Pro"/>
          <w:color w:val="auto"/>
          <w:sz w:val="22"/>
          <w:szCs w:val="22"/>
        </w:rPr>
      </w:pPr>
      <w:r w:rsidRPr="00457026">
        <w:rPr>
          <w:rFonts w:ascii="Mark Pro" w:eastAsia="HGGothicE" w:hAnsi="Mark Pro"/>
          <w:color w:val="auto"/>
          <w:sz w:val="22"/>
          <w:szCs w:val="22"/>
        </w:rPr>
        <w:t xml:space="preserve">Concerns were raised about the government's capacity to enforce regulations on non-UK manufacturers. Some respondents acknowledged the Environment Agency's suitability as an administrator, citing their experience, but </w:t>
      </w:r>
      <w:r w:rsidR="00523110">
        <w:rPr>
          <w:rFonts w:ascii="Mark Pro" w:eastAsia="HGGothicE" w:hAnsi="Mark Pro"/>
          <w:color w:val="auto"/>
          <w:sz w:val="22"/>
          <w:szCs w:val="22"/>
        </w:rPr>
        <w:t>emphasised</w:t>
      </w:r>
      <w:r w:rsidRPr="00457026">
        <w:rPr>
          <w:rFonts w:ascii="Mark Pro" w:eastAsia="HGGothicE" w:hAnsi="Mark Pro"/>
          <w:color w:val="auto"/>
          <w:sz w:val="22"/>
          <w:szCs w:val="22"/>
        </w:rPr>
        <w:t xml:space="preserve"> the necessity for the scheme administrator to be adequately resourced.</w:t>
      </w:r>
    </w:p>
    <w:p w14:paraId="3434FC5C" w14:textId="3A6B9EBB" w:rsidR="00D0347F" w:rsidRDefault="00457026" w:rsidP="00426E81">
      <w:pPr>
        <w:pStyle w:val="Default"/>
        <w:spacing w:after="120" w:line="276" w:lineRule="auto"/>
        <w:rPr>
          <w:rFonts w:ascii="Mark Pro" w:eastAsia="HGGothicE" w:hAnsi="Mark Pro"/>
          <w:color w:val="auto"/>
          <w:sz w:val="22"/>
          <w:szCs w:val="22"/>
          <w:u w:val="single"/>
        </w:rPr>
      </w:pPr>
      <w:r>
        <w:rPr>
          <w:rFonts w:ascii="Mark Pro" w:eastAsia="HGGothicE" w:hAnsi="Mark Pro"/>
          <w:color w:val="auto"/>
          <w:sz w:val="22"/>
          <w:szCs w:val="22"/>
          <w:u w:val="single"/>
        </w:rPr>
        <w:t>Government response</w:t>
      </w:r>
    </w:p>
    <w:p w14:paraId="558F3222" w14:textId="77777777" w:rsidR="00523110" w:rsidRDefault="006F1594" w:rsidP="00426E81">
      <w:pPr>
        <w:pStyle w:val="Default"/>
        <w:spacing w:after="120" w:line="276" w:lineRule="auto"/>
        <w:rPr>
          <w:rFonts w:ascii="Mark Pro" w:eastAsia="HGGothicE" w:hAnsi="Mark Pro"/>
          <w:color w:val="auto"/>
          <w:sz w:val="22"/>
          <w:szCs w:val="22"/>
        </w:rPr>
      </w:pPr>
      <w:r w:rsidRPr="006F1594">
        <w:rPr>
          <w:rFonts w:ascii="Mark Pro" w:eastAsia="HGGothicE" w:hAnsi="Mark Pro"/>
          <w:color w:val="auto"/>
          <w:sz w:val="22"/>
          <w:szCs w:val="22"/>
        </w:rPr>
        <w:t xml:space="preserve">In response to majority feedback, the government plans to enforce compliance through a payment-in-lieu of £3,000 per missing heat pump credit, reduced from the initially proposed £5,000, for obligated parties failing to meet their credit obligations. </w:t>
      </w:r>
    </w:p>
    <w:p w14:paraId="5024DB38" w14:textId="77777777" w:rsidR="00523110" w:rsidRDefault="006F1594" w:rsidP="00426E81">
      <w:pPr>
        <w:pStyle w:val="Default"/>
        <w:spacing w:after="120" w:line="276" w:lineRule="auto"/>
        <w:rPr>
          <w:rFonts w:ascii="Mark Pro" w:eastAsia="HGGothicE" w:hAnsi="Mark Pro"/>
          <w:color w:val="auto"/>
          <w:sz w:val="22"/>
          <w:szCs w:val="22"/>
        </w:rPr>
      </w:pPr>
      <w:r w:rsidRPr="006F1594">
        <w:rPr>
          <w:rFonts w:ascii="Mark Pro" w:eastAsia="HGGothicE" w:hAnsi="Mark Pro"/>
          <w:color w:val="auto"/>
          <w:sz w:val="22"/>
          <w:szCs w:val="22"/>
        </w:rPr>
        <w:t xml:space="preserve">This balance aims to make expanding the heat pump market more cost-effective than paying penalties. Collected penalties will go to the Consolidated Fund, with separate funding for other heat decarbonisation policies. </w:t>
      </w:r>
    </w:p>
    <w:p w14:paraId="044075AF" w14:textId="71832B66" w:rsidR="00D0347F" w:rsidRDefault="006F1594" w:rsidP="00426E81">
      <w:pPr>
        <w:pStyle w:val="Default"/>
        <w:spacing w:after="120" w:line="276" w:lineRule="auto"/>
        <w:rPr>
          <w:rFonts w:ascii="Mark Pro" w:eastAsia="HGGothicE" w:hAnsi="Mark Pro"/>
          <w:color w:val="auto"/>
          <w:sz w:val="22"/>
          <w:szCs w:val="22"/>
        </w:rPr>
      </w:pPr>
      <w:r w:rsidRPr="006F1594">
        <w:rPr>
          <w:rFonts w:ascii="Mark Pro" w:eastAsia="HGGothicE" w:hAnsi="Mark Pro"/>
          <w:color w:val="auto"/>
          <w:sz w:val="22"/>
          <w:szCs w:val="22"/>
        </w:rPr>
        <w:t>The Environment Agency will manage and enforce the scheme, imposing civil and criminal penalties for various non-compliances, with penalty levels detailed in their future Enforcement and Sanctions Policy. Obligated parties with overseas operations will face additional enforcement considerations.</w:t>
      </w:r>
    </w:p>
    <w:p w14:paraId="269E1CA6" w14:textId="77777777" w:rsidR="006F1594" w:rsidRPr="006F1594" w:rsidRDefault="006F1594" w:rsidP="00426E81">
      <w:pPr>
        <w:pStyle w:val="Default"/>
        <w:spacing w:after="120" w:line="276" w:lineRule="auto"/>
        <w:rPr>
          <w:rFonts w:ascii="Mark Pro" w:eastAsia="HGGothicE" w:hAnsi="Mark Pro"/>
          <w:color w:val="auto"/>
          <w:sz w:val="22"/>
          <w:szCs w:val="22"/>
        </w:rPr>
      </w:pPr>
    </w:p>
    <w:p w14:paraId="21AC8997" w14:textId="77777777" w:rsidR="00523110" w:rsidRDefault="00523110" w:rsidP="00426E81">
      <w:pPr>
        <w:spacing w:after="120" w:line="276" w:lineRule="auto"/>
        <w:rPr>
          <w:rFonts w:ascii="Mark Pro" w:eastAsia="HGGothicE" w:hAnsi="Mark Pro" w:cs="Arial"/>
          <w:b/>
          <w:bCs/>
        </w:rPr>
      </w:pPr>
    </w:p>
    <w:p w14:paraId="0B475A1B" w14:textId="30FAD43A" w:rsidR="00A62C0C" w:rsidRPr="00A62C0C" w:rsidRDefault="00A62C0C" w:rsidP="00426E81">
      <w:pPr>
        <w:spacing w:after="120" w:line="276" w:lineRule="auto"/>
        <w:rPr>
          <w:rFonts w:ascii="Mark Pro" w:eastAsia="HGGothicE" w:hAnsi="Mark Pro" w:cs="Arial"/>
        </w:rPr>
      </w:pPr>
      <w:r w:rsidRPr="00E954B1">
        <w:rPr>
          <w:rFonts w:ascii="Mark Pro" w:eastAsia="HGGothicE" w:hAnsi="Mark Pro" w:cs="Arial"/>
          <w:b/>
          <w:bCs/>
        </w:rPr>
        <w:lastRenderedPageBreak/>
        <w:t>QUESTION 25</w:t>
      </w:r>
      <w:r w:rsidRPr="00A62C0C">
        <w:rPr>
          <w:rFonts w:ascii="Mark Pro" w:eastAsia="HGGothicE" w:hAnsi="Mark Pro" w:cs="Arial"/>
        </w:rPr>
        <w:t xml:space="preserve">: Do you have any further views on whether, and to what extent, the policy proposals in this consultation might disproportionately impact upon certain types of </w:t>
      </w:r>
      <w:proofErr w:type="gramStart"/>
      <w:r w:rsidRPr="00A62C0C">
        <w:rPr>
          <w:rFonts w:ascii="Mark Pro" w:eastAsia="HGGothicE" w:hAnsi="Mark Pro" w:cs="Arial"/>
        </w:rPr>
        <w:t>consumer</w:t>
      </w:r>
      <w:proofErr w:type="gramEnd"/>
      <w:r w:rsidRPr="00A62C0C">
        <w:rPr>
          <w:rFonts w:ascii="Mark Pro" w:eastAsia="HGGothicE" w:hAnsi="Mark Pro" w:cs="Arial"/>
        </w:rPr>
        <w:t>, with a particular focus on those in groups with protected characteristics?</w:t>
      </w:r>
    </w:p>
    <w:p w14:paraId="3A407095" w14:textId="6623663A" w:rsidR="00F24673" w:rsidRPr="00F24673" w:rsidRDefault="00F24673" w:rsidP="00426E81">
      <w:pPr>
        <w:pStyle w:val="ListParagraph"/>
        <w:numPr>
          <w:ilvl w:val="0"/>
          <w:numId w:val="26"/>
        </w:numPr>
        <w:spacing w:after="120" w:line="276" w:lineRule="auto"/>
        <w:ind w:left="714" w:hanging="357"/>
        <w:contextualSpacing w:val="0"/>
        <w:rPr>
          <w:rFonts w:ascii="Mark Pro" w:eastAsia="HGGothicE" w:hAnsi="Mark Pro" w:cs="Arial"/>
        </w:rPr>
      </w:pPr>
      <w:r w:rsidRPr="00F24673">
        <w:rPr>
          <w:rFonts w:ascii="Mark Pro" w:eastAsia="HGGothicE" w:hAnsi="Mark Pro" w:cs="Arial"/>
          <w:b/>
          <w:bCs/>
        </w:rPr>
        <w:t>SNIPEF</w:t>
      </w:r>
      <w:r w:rsidR="00523110">
        <w:rPr>
          <w:rFonts w:ascii="Mark Pro" w:eastAsia="HGGothicE" w:hAnsi="Mark Pro" w:cs="Arial"/>
          <w:b/>
          <w:bCs/>
        </w:rPr>
        <w:t xml:space="preserve"> </w:t>
      </w:r>
      <w:r w:rsidR="000E4811">
        <w:rPr>
          <w:rFonts w:ascii="Mark Pro" w:eastAsia="HGGothicE" w:hAnsi="Mark Pro" w:cs="Arial"/>
          <w:b/>
          <w:bCs/>
        </w:rPr>
        <w:t>submission</w:t>
      </w:r>
      <w:r w:rsidRPr="00F24673">
        <w:rPr>
          <w:rFonts w:ascii="Mark Pro" w:eastAsia="HGGothicE" w:hAnsi="Mark Pro" w:cs="Arial"/>
        </w:rPr>
        <w:t xml:space="preserve">: SNIPEF expressed concerns that the policy proposals might lead to low-quality installations, disproportionately impacting </w:t>
      </w:r>
      <w:r w:rsidR="00523110">
        <w:rPr>
          <w:rFonts w:ascii="Mark Pro" w:eastAsia="HGGothicE" w:hAnsi="Mark Pro" w:cs="Arial"/>
        </w:rPr>
        <w:t>certain</w:t>
      </w:r>
      <w:r w:rsidRPr="00F24673">
        <w:rPr>
          <w:rFonts w:ascii="Mark Pro" w:eastAsia="HGGothicE" w:hAnsi="Mark Pro" w:cs="Arial"/>
        </w:rPr>
        <w:t xml:space="preserve"> consumers. They highlighted that manufacturers typically do not have direct contact with consumers, and the expertise of installers is crucial. SNIPEF </w:t>
      </w:r>
      <w:r w:rsidR="00523110">
        <w:rPr>
          <w:rFonts w:ascii="Mark Pro" w:eastAsia="HGGothicE" w:hAnsi="Mark Pro" w:cs="Arial"/>
        </w:rPr>
        <w:t>emphasised</w:t>
      </w:r>
      <w:r w:rsidRPr="00F24673">
        <w:rPr>
          <w:rFonts w:ascii="Mark Pro" w:eastAsia="HGGothicE" w:hAnsi="Mark Pro" w:cs="Arial"/>
        </w:rPr>
        <w:t xml:space="preserve"> the varied needs of consumers and cautioned against one-size-fits-all solutions, mentioning potential impacts on costs and the relationship between installers and merchants.</w:t>
      </w:r>
    </w:p>
    <w:p w14:paraId="0B4ECE8B" w14:textId="74AA9F14" w:rsidR="00F24673" w:rsidRPr="00F24673" w:rsidRDefault="00F24673" w:rsidP="00426E81">
      <w:pPr>
        <w:pStyle w:val="ListParagraph"/>
        <w:numPr>
          <w:ilvl w:val="0"/>
          <w:numId w:val="26"/>
        </w:numPr>
        <w:spacing w:after="120" w:line="276" w:lineRule="auto"/>
        <w:ind w:left="714" w:hanging="357"/>
        <w:contextualSpacing w:val="0"/>
        <w:rPr>
          <w:rFonts w:ascii="Mark Pro" w:eastAsia="HGGothicE" w:hAnsi="Mark Pro" w:cs="Arial"/>
        </w:rPr>
      </w:pPr>
      <w:r w:rsidRPr="00F24673">
        <w:rPr>
          <w:rFonts w:ascii="Mark Pro" w:eastAsia="HGGothicE" w:hAnsi="Mark Pro" w:cs="Arial"/>
          <w:b/>
          <w:bCs/>
        </w:rPr>
        <w:t xml:space="preserve">Consultation </w:t>
      </w:r>
      <w:r w:rsidR="00523110">
        <w:rPr>
          <w:rFonts w:ascii="Mark Pro" w:eastAsia="HGGothicE" w:hAnsi="Mark Pro" w:cs="Arial"/>
          <w:b/>
          <w:bCs/>
        </w:rPr>
        <w:t>s</w:t>
      </w:r>
      <w:r w:rsidRPr="00F24673">
        <w:rPr>
          <w:rFonts w:ascii="Mark Pro" w:eastAsia="HGGothicE" w:hAnsi="Mark Pro" w:cs="Arial"/>
          <w:b/>
          <w:bCs/>
        </w:rPr>
        <w:t>ummary</w:t>
      </w:r>
      <w:r w:rsidRPr="00F24673">
        <w:rPr>
          <w:rFonts w:ascii="Mark Pro" w:eastAsia="HGGothicE" w:hAnsi="Mark Pro" w:cs="Arial"/>
        </w:rPr>
        <w:t xml:space="preserve">: </w:t>
      </w:r>
      <w:r w:rsidR="00523110">
        <w:rPr>
          <w:rFonts w:ascii="Mark Pro" w:eastAsia="HGGothicE" w:hAnsi="Mark Pro" w:cs="Arial"/>
        </w:rPr>
        <w:t xml:space="preserve">Most </w:t>
      </w:r>
      <w:r w:rsidRPr="00F24673">
        <w:rPr>
          <w:rFonts w:ascii="Mark Pro" w:eastAsia="HGGothicE" w:hAnsi="Mark Pro" w:cs="Arial"/>
        </w:rPr>
        <w:t>respondents did not identify specific impacts on groups with protected characteristics but raised concerns about low-income and vulnerable consumers, particularly regarding the high upfront costs of heat pumps. Concerns were also raised about the potential for disparities between wealthier consumers and those unable to afford such costs, as well as risks of inappropriate installations and increased costs for those remaining on the gas grid.</w:t>
      </w:r>
    </w:p>
    <w:p w14:paraId="2F911FF4" w14:textId="164F6983" w:rsidR="00F24673" w:rsidRPr="00F24673" w:rsidRDefault="00F24673" w:rsidP="00426E81">
      <w:pPr>
        <w:pStyle w:val="ListParagraph"/>
        <w:numPr>
          <w:ilvl w:val="0"/>
          <w:numId w:val="26"/>
        </w:numPr>
        <w:spacing w:after="120" w:line="276" w:lineRule="auto"/>
        <w:ind w:left="714" w:hanging="357"/>
        <w:contextualSpacing w:val="0"/>
        <w:rPr>
          <w:rFonts w:ascii="Mark Pro" w:eastAsia="HGGothicE" w:hAnsi="Mark Pro" w:cs="Arial"/>
        </w:rPr>
      </w:pPr>
      <w:r w:rsidRPr="00F24673">
        <w:rPr>
          <w:rFonts w:ascii="Mark Pro" w:eastAsia="HGGothicE" w:hAnsi="Mark Pro" w:cs="Arial"/>
          <w:b/>
          <w:bCs/>
        </w:rPr>
        <w:t xml:space="preserve">Government </w:t>
      </w:r>
      <w:r w:rsidR="00523110">
        <w:rPr>
          <w:rFonts w:ascii="Mark Pro" w:eastAsia="HGGothicE" w:hAnsi="Mark Pro" w:cs="Arial"/>
          <w:b/>
          <w:bCs/>
        </w:rPr>
        <w:t>r</w:t>
      </w:r>
      <w:r w:rsidRPr="00F24673">
        <w:rPr>
          <w:rFonts w:ascii="Mark Pro" w:eastAsia="HGGothicE" w:hAnsi="Mark Pro" w:cs="Arial"/>
          <w:b/>
          <w:bCs/>
        </w:rPr>
        <w:t>esponse</w:t>
      </w:r>
      <w:r w:rsidRPr="00F24673">
        <w:rPr>
          <w:rFonts w:ascii="Mark Pro" w:eastAsia="HGGothicE" w:hAnsi="Mark Pro" w:cs="Arial"/>
        </w:rPr>
        <w:t xml:space="preserve">: The government acknowledged the risks highlighted in the responses but stated that the policy is unlikely to have disproportionate direct negative impacts on groups with protected characteristics. They </w:t>
      </w:r>
      <w:r w:rsidR="000E4811">
        <w:rPr>
          <w:rFonts w:ascii="Mark Pro" w:eastAsia="HGGothicE" w:hAnsi="Mark Pro" w:cs="Arial"/>
        </w:rPr>
        <w:t>emphasised</w:t>
      </w:r>
      <w:r w:rsidRPr="00F24673">
        <w:rPr>
          <w:rFonts w:ascii="Mark Pro" w:eastAsia="HGGothicE" w:hAnsi="Mark Pro" w:cs="Arial"/>
        </w:rPr>
        <w:t xml:space="preserve"> the role of building regulations and the requirement for certified installations as measures to protect consumers against poor-quality or inappropriate installations. The government also mentioned the need for continued assessment of policy support, including financial support for upfront costs and balancing objectives like energy affordability and reducing fuel poverty.</w:t>
      </w:r>
    </w:p>
    <w:p w14:paraId="6B8428D1" w14:textId="5D063D81" w:rsidR="00F24673" w:rsidRPr="00F24673" w:rsidRDefault="00F24673" w:rsidP="00426E81">
      <w:pPr>
        <w:spacing w:after="120" w:line="276" w:lineRule="auto"/>
        <w:rPr>
          <w:rFonts w:ascii="Mark Pro" w:eastAsia="HGGothicE" w:hAnsi="Mark Pro" w:cs="Arial"/>
          <w:b/>
          <w:bCs/>
        </w:rPr>
      </w:pPr>
      <w:r w:rsidRPr="00F24673">
        <w:rPr>
          <w:rFonts w:ascii="Mark Pro" w:eastAsia="HGGothicE" w:hAnsi="Mark Pro" w:cs="Arial"/>
          <w:b/>
          <w:bCs/>
        </w:rPr>
        <w:t>Partial</w:t>
      </w:r>
      <w:r>
        <w:rPr>
          <w:rFonts w:ascii="Mark Pro" w:eastAsia="HGGothicE" w:hAnsi="Mark Pro" w:cs="Arial"/>
          <w:b/>
          <w:bCs/>
        </w:rPr>
        <w:t xml:space="preserve"> agreement</w:t>
      </w:r>
      <w:r w:rsidR="000E4811">
        <w:rPr>
          <w:rFonts w:ascii="Mark Pro" w:eastAsia="HGGothicE" w:hAnsi="Mark Pro" w:cs="Arial"/>
          <w:b/>
          <w:bCs/>
        </w:rPr>
        <w:t xml:space="preserve"> with SNIPEF submission</w:t>
      </w:r>
    </w:p>
    <w:p w14:paraId="6D896BBC" w14:textId="0797D649" w:rsidR="00F24673" w:rsidRPr="00A62C0C" w:rsidRDefault="00F24673" w:rsidP="00426E81">
      <w:pPr>
        <w:spacing w:after="120" w:line="276" w:lineRule="auto"/>
        <w:rPr>
          <w:rFonts w:ascii="Mark Pro" w:eastAsia="HGGothicE" w:hAnsi="Mark Pro" w:cs="Arial"/>
        </w:rPr>
      </w:pPr>
    </w:p>
    <w:sectPr w:rsidR="00F24673" w:rsidRPr="00A62C0C">
      <w:headerReference w:type="default" r:id="rId8"/>
      <w:footerReference w:type="default" r:id="rId9"/>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053B" w14:textId="77777777" w:rsidR="00505BFD" w:rsidRDefault="00505BFD">
      <w:pPr>
        <w:spacing w:after="0" w:line="240" w:lineRule="auto"/>
      </w:pPr>
      <w:r>
        <w:separator/>
      </w:r>
    </w:p>
  </w:endnote>
  <w:endnote w:type="continuationSeparator" w:id="0">
    <w:p w14:paraId="16C5514F" w14:textId="77777777" w:rsidR="00505BFD" w:rsidRDefault="00505BFD">
      <w:pPr>
        <w:spacing w:after="0" w:line="240" w:lineRule="auto"/>
      </w:pPr>
      <w:r>
        <w:continuationSeparator/>
      </w:r>
    </w:p>
  </w:endnote>
  <w:endnote w:type="continuationNotice" w:id="1">
    <w:p w14:paraId="18973875" w14:textId="77777777" w:rsidR="00505BFD" w:rsidRDefault="00505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rk Pro">
    <w:panose1 w:val="020B0504020201010104"/>
    <w:charset w:val="00"/>
    <w:family w:val="swiss"/>
    <w:pitch w:val="variable"/>
    <w:sig w:usb0="A00000FF" w:usb1="5000FCFB" w:usb2="00000000" w:usb3="00000000" w:csb0="00000093"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88062"/>
      <w:docPartObj>
        <w:docPartGallery w:val="Page Numbers (Bottom of Page)"/>
        <w:docPartUnique/>
      </w:docPartObj>
    </w:sdtPr>
    <w:sdtEndPr>
      <w:rPr>
        <w:rFonts w:ascii="Arial" w:hAnsi="Arial" w:cs="Arial"/>
        <w:noProof/>
      </w:rPr>
    </w:sdtEndPr>
    <w:sdtContent>
      <w:p w14:paraId="0A6F8BA2" w14:textId="381337F1" w:rsidR="007E3426" w:rsidRPr="007E3426" w:rsidRDefault="007E3426">
        <w:pPr>
          <w:pStyle w:val="Footer"/>
          <w:jc w:val="right"/>
          <w:rPr>
            <w:rFonts w:ascii="Arial" w:hAnsi="Arial" w:cs="Arial"/>
          </w:rPr>
        </w:pPr>
        <w:r w:rsidRPr="007E3426">
          <w:rPr>
            <w:rFonts w:ascii="Arial" w:hAnsi="Arial" w:cs="Arial"/>
          </w:rPr>
          <w:fldChar w:fldCharType="begin"/>
        </w:r>
        <w:r w:rsidRPr="007E3426">
          <w:rPr>
            <w:rFonts w:ascii="Arial" w:hAnsi="Arial" w:cs="Arial"/>
          </w:rPr>
          <w:instrText xml:space="preserve"> PAGE   \* MERGEFORMAT </w:instrText>
        </w:r>
        <w:r w:rsidRPr="007E3426">
          <w:rPr>
            <w:rFonts w:ascii="Arial" w:hAnsi="Arial" w:cs="Arial"/>
          </w:rPr>
          <w:fldChar w:fldCharType="separate"/>
        </w:r>
        <w:r w:rsidRPr="007E3426">
          <w:rPr>
            <w:rFonts w:ascii="Arial" w:hAnsi="Arial" w:cs="Arial"/>
            <w:noProof/>
          </w:rPr>
          <w:t>2</w:t>
        </w:r>
        <w:r w:rsidRPr="007E3426">
          <w:rPr>
            <w:rFonts w:ascii="Arial" w:hAnsi="Arial" w:cs="Arial"/>
            <w:noProof/>
          </w:rPr>
          <w:fldChar w:fldCharType="end"/>
        </w:r>
      </w:p>
    </w:sdtContent>
  </w:sdt>
  <w:p w14:paraId="176D422A" w14:textId="654CD23F" w:rsidR="79776295" w:rsidRDefault="79776295" w:rsidP="7977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E9C8" w14:textId="77777777" w:rsidR="00505BFD" w:rsidRDefault="00505BFD">
      <w:pPr>
        <w:spacing w:after="0" w:line="240" w:lineRule="auto"/>
      </w:pPr>
      <w:r>
        <w:separator/>
      </w:r>
    </w:p>
  </w:footnote>
  <w:footnote w:type="continuationSeparator" w:id="0">
    <w:p w14:paraId="1526F5B7" w14:textId="77777777" w:rsidR="00505BFD" w:rsidRDefault="00505BFD">
      <w:pPr>
        <w:spacing w:after="0" w:line="240" w:lineRule="auto"/>
      </w:pPr>
      <w:r>
        <w:continuationSeparator/>
      </w:r>
    </w:p>
  </w:footnote>
  <w:footnote w:type="continuationNotice" w:id="1">
    <w:p w14:paraId="1B1797AA" w14:textId="77777777" w:rsidR="00505BFD" w:rsidRDefault="00505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7D43" w14:textId="1796F1DF" w:rsidR="79776295" w:rsidRDefault="00E933C9" w:rsidP="79776295">
    <w:pPr>
      <w:pStyle w:val="Header"/>
    </w:pPr>
    <w:r>
      <w:rPr>
        <w:noProof/>
      </w:rPr>
      <w:drawing>
        <wp:anchor distT="0" distB="0" distL="114300" distR="114300" simplePos="0" relativeHeight="251658240" behindDoc="0" locked="0" layoutInCell="1" allowOverlap="1" wp14:anchorId="14C9A379" wp14:editId="5D969BE4">
          <wp:simplePos x="0" y="0"/>
          <wp:positionH relativeFrom="column">
            <wp:posOffset>3556000</wp:posOffset>
          </wp:positionH>
          <wp:positionV relativeFrom="paragraph">
            <wp:posOffset>-299085</wp:posOffset>
          </wp:positionV>
          <wp:extent cx="2520000" cy="68355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0000" cy="68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49A"/>
    <w:multiLevelType w:val="hybridMultilevel"/>
    <w:tmpl w:val="A0205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25D9D"/>
    <w:multiLevelType w:val="hybridMultilevel"/>
    <w:tmpl w:val="3910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10A80"/>
    <w:multiLevelType w:val="hybridMultilevel"/>
    <w:tmpl w:val="6288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714FD"/>
    <w:multiLevelType w:val="hybridMultilevel"/>
    <w:tmpl w:val="D7A45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A1829"/>
    <w:multiLevelType w:val="hybridMultilevel"/>
    <w:tmpl w:val="1B062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B5C1D"/>
    <w:multiLevelType w:val="hybridMultilevel"/>
    <w:tmpl w:val="0C42B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71AD3"/>
    <w:multiLevelType w:val="hybridMultilevel"/>
    <w:tmpl w:val="0AC48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C544A"/>
    <w:multiLevelType w:val="hybridMultilevel"/>
    <w:tmpl w:val="D4020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16234"/>
    <w:multiLevelType w:val="hybridMultilevel"/>
    <w:tmpl w:val="6FB03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C7270"/>
    <w:multiLevelType w:val="hybridMultilevel"/>
    <w:tmpl w:val="16C28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D2DB1"/>
    <w:multiLevelType w:val="hybridMultilevel"/>
    <w:tmpl w:val="47260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82884"/>
    <w:multiLevelType w:val="hybridMultilevel"/>
    <w:tmpl w:val="243E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F2B8F"/>
    <w:multiLevelType w:val="hybridMultilevel"/>
    <w:tmpl w:val="70EEE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74E33"/>
    <w:multiLevelType w:val="hybridMultilevel"/>
    <w:tmpl w:val="98AA3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230FD"/>
    <w:multiLevelType w:val="hybridMultilevel"/>
    <w:tmpl w:val="16E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E62E2"/>
    <w:multiLevelType w:val="hybridMultilevel"/>
    <w:tmpl w:val="6BF6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11A48"/>
    <w:multiLevelType w:val="hybridMultilevel"/>
    <w:tmpl w:val="FF0C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41BDE"/>
    <w:multiLevelType w:val="hybridMultilevel"/>
    <w:tmpl w:val="DF0C5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A06B7F"/>
    <w:multiLevelType w:val="hybridMultilevel"/>
    <w:tmpl w:val="6916C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80A68"/>
    <w:multiLevelType w:val="hybridMultilevel"/>
    <w:tmpl w:val="C672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F5D6F"/>
    <w:multiLevelType w:val="hybridMultilevel"/>
    <w:tmpl w:val="6876C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A729B"/>
    <w:multiLevelType w:val="hybridMultilevel"/>
    <w:tmpl w:val="FE76B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A1D1D"/>
    <w:multiLevelType w:val="hybridMultilevel"/>
    <w:tmpl w:val="116A6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0661E"/>
    <w:multiLevelType w:val="hybridMultilevel"/>
    <w:tmpl w:val="A2D08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FC529B"/>
    <w:multiLevelType w:val="hybridMultilevel"/>
    <w:tmpl w:val="A8101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725A2"/>
    <w:multiLevelType w:val="hybridMultilevel"/>
    <w:tmpl w:val="073CF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07D1E"/>
    <w:multiLevelType w:val="hybridMultilevel"/>
    <w:tmpl w:val="8FC02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B81B84"/>
    <w:multiLevelType w:val="hybridMultilevel"/>
    <w:tmpl w:val="9E8C0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6891959">
    <w:abstractNumId w:val="17"/>
  </w:num>
  <w:num w:numId="2" w16cid:durableId="1011563855">
    <w:abstractNumId w:val="6"/>
  </w:num>
  <w:num w:numId="3" w16cid:durableId="1947346487">
    <w:abstractNumId w:val="15"/>
  </w:num>
  <w:num w:numId="4" w16cid:durableId="1300576713">
    <w:abstractNumId w:val="9"/>
  </w:num>
  <w:num w:numId="5" w16cid:durableId="1750075783">
    <w:abstractNumId w:val="14"/>
  </w:num>
  <w:num w:numId="6" w16cid:durableId="1042248778">
    <w:abstractNumId w:val="2"/>
  </w:num>
  <w:num w:numId="7" w16cid:durableId="1879513596">
    <w:abstractNumId w:val="8"/>
  </w:num>
  <w:num w:numId="8" w16cid:durableId="258220146">
    <w:abstractNumId w:val="23"/>
  </w:num>
  <w:num w:numId="9" w16cid:durableId="1719746563">
    <w:abstractNumId w:val="3"/>
  </w:num>
  <w:num w:numId="10" w16cid:durableId="285548955">
    <w:abstractNumId w:val="26"/>
  </w:num>
  <w:num w:numId="11" w16cid:durableId="353114523">
    <w:abstractNumId w:val="27"/>
  </w:num>
  <w:num w:numId="12" w16cid:durableId="1388526799">
    <w:abstractNumId w:val="10"/>
  </w:num>
  <w:num w:numId="13" w16cid:durableId="994606021">
    <w:abstractNumId w:val="1"/>
  </w:num>
  <w:num w:numId="14" w16cid:durableId="1663699747">
    <w:abstractNumId w:val="19"/>
  </w:num>
  <w:num w:numId="15" w16cid:durableId="293022129">
    <w:abstractNumId w:val="7"/>
  </w:num>
  <w:num w:numId="16" w16cid:durableId="1980762629">
    <w:abstractNumId w:val="0"/>
  </w:num>
  <w:num w:numId="17" w16cid:durableId="539442839">
    <w:abstractNumId w:val="22"/>
  </w:num>
  <w:num w:numId="18" w16cid:durableId="1778715635">
    <w:abstractNumId w:val="5"/>
  </w:num>
  <w:num w:numId="19" w16cid:durableId="83110497">
    <w:abstractNumId w:val="24"/>
  </w:num>
  <w:num w:numId="20" w16cid:durableId="356004535">
    <w:abstractNumId w:val="21"/>
  </w:num>
  <w:num w:numId="21" w16cid:durableId="1714579593">
    <w:abstractNumId w:val="12"/>
  </w:num>
  <w:num w:numId="22" w16cid:durableId="591476166">
    <w:abstractNumId w:val="11"/>
  </w:num>
  <w:num w:numId="23" w16cid:durableId="420612156">
    <w:abstractNumId w:val="4"/>
  </w:num>
  <w:num w:numId="24" w16cid:durableId="2008703337">
    <w:abstractNumId w:val="18"/>
  </w:num>
  <w:num w:numId="25" w16cid:durableId="1370034277">
    <w:abstractNumId w:val="13"/>
  </w:num>
  <w:num w:numId="26" w16cid:durableId="1992783948">
    <w:abstractNumId w:val="20"/>
  </w:num>
  <w:num w:numId="27" w16cid:durableId="1886139203">
    <w:abstractNumId w:val="16"/>
  </w:num>
  <w:num w:numId="28" w16cid:durableId="11929559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68F404"/>
    <w:rsid w:val="0001342B"/>
    <w:rsid w:val="000274B0"/>
    <w:rsid w:val="00082CB7"/>
    <w:rsid w:val="000A32FA"/>
    <w:rsid w:val="000E4811"/>
    <w:rsid w:val="00151643"/>
    <w:rsid w:val="00166D36"/>
    <w:rsid w:val="001800A5"/>
    <w:rsid w:val="001A21CC"/>
    <w:rsid w:val="001D77BD"/>
    <w:rsid w:val="001E0ACC"/>
    <w:rsid w:val="001F3906"/>
    <w:rsid w:val="00214D1E"/>
    <w:rsid w:val="00235E07"/>
    <w:rsid w:val="0024279C"/>
    <w:rsid w:val="00251297"/>
    <w:rsid w:val="00277A4D"/>
    <w:rsid w:val="002B0B58"/>
    <w:rsid w:val="002E661B"/>
    <w:rsid w:val="0034526E"/>
    <w:rsid w:val="00355A32"/>
    <w:rsid w:val="003638A9"/>
    <w:rsid w:val="003831AB"/>
    <w:rsid w:val="00394A45"/>
    <w:rsid w:val="003C6DFE"/>
    <w:rsid w:val="0041106D"/>
    <w:rsid w:val="00426E81"/>
    <w:rsid w:val="00457026"/>
    <w:rsid w:val="004844B8"/>
    <w:rsid w:val="004B19DC"/>
    <w:rsid w:val="004B1EE6"/>
    <w:rsid w:val="004B6062"/>
    <w:rsid w:val="004B6AA4"/>
    <w:rsid w:val="004D02C4"/>
    <w:rsid w:val="004D5F4B"/>
    <w:rsid w:val="00505BFD"/>
    <w:rsid w:val="005113B4"/>
    <w:rsid w:val="00523110"/>
    <w:rsid w:val="00542E5C"/>
    <w:rsid w:val="005474A6"/>
    <w:rsid w:val="0055722E"/>
    <w:rsid w:val="00572F88"/>
    <w:rsid w:val="005906A2"/>
    <w:rsid w:val="005D0F0E"/>
    <w:rsid w:val="00612A0A"/>
    <w:rsid w:val="00613D1A"/>
    <w:rsid w:val="00633DA6"/>
    <w:rsid w:val="00643697"/>
    <w:rsid w:val="0066375F"/>
    <w:rsid w:val="006C6408"/>
    <w:rsid w:val="006D7BF2"/>
    <w:rsid w:val="006F1594"/>
    <w:rsid w:val="00714956"/>
    <w:rsid w:val="00714D55"/>
    <w:rsid w:val="007814B8"/>
    <w:rsid w:val="00784517"/>
    <w:rsid w:val="007B216F"/>
    <w:rsid w:val="007D76DB"/>
    <w:rsid w:val="007E3426"/>
    <w:rsid w:val="008854DD"/>
    <w:rsid w:val="00886BCE"/>
    <w:rsid w:val="00886CB8"/>
    <w:rsid w:val="008A4E06"/>
    <w:rsid w:val="008A5DB1"/>
    <w:rsid w:val="008C2FAD"/>
    <w:rsid w:val="008E7EA1"/>
    <w:rsid w:val="00924E9E"/>
    <w:rsid w:val="00934A36"/>
    <w:rsid w:val="009671CA"/>
    <w:rsid w:val="009B12D1"/>
    <w:rsid w:val="009E0203"/>
    <w:rsid w:val="009E24B7"/>
    <w:rsid w:val="009E741A"/>
    <w:rsid w:val="00A20C46"/>
    <w:rsid w:val="00A26021"/>
    <w:rsid w:val="00A62C0C"/>
    <w:rsid w:val="00A7181C"/>
    <w:rsid w:val="00A76339"/>
    <w:rsid w:val="00A811DE"/>
    <w:rsid w:val="00A97F9B"/>
    <w:rsid w:val="00AA2246"/>
    <w:rsid w:val="00AA5099"/>
    <w:rsid w:val="00AC28C9"/>
    <w:rsid w:val="00B516B6"/>
    <w:rsid w:val="00B91343"/>
    <w:rsid w:val="00BC3D9E"/>
    <w:rsid w:val="00BC5447"/>
    <w:rsid w:val="00BE3C41"/>
    <w:rsid w:val="00C21B99"/>
    <w:rsid w:val="00C3268C"/>
    <w:rsid w:val="00C349D3"/>
    <w:rsid w:val="00C46BBB"/>
    <w:rsid w:val="00C475A3"/>
    <w:rsid w:val="00C53FB7"/>
    <w:rsid w:val="00C67499"/>
    <w:rsid w:val="00C91DCD"/>
    <w:rsid w:val="00D0211F"/>
    <w:rsid w:val="00D0347F"/>
    <w:rsid w:val="00D1352A"/>
    <w:rsid w:val="00D8571B"/>
    <w:rsid w:val="00D975A5"/>
    <w:rsid w:val="00DA5651"/>
    <w:rsid w:val="00DA701A"/>
    <w:rsid w:val="00E31A7A"/>
    <w:rsid w:val="00E619A4"/>
    <w:rsid w:val="00E933C9"/>
    <w:rsid w:val="00E954B1"/>
    <w:rsid w:val="00F24673"/>
    <w:rsid w:val="00F61EB3"/>
    <w:rsid w:val="00FA0090"/>
    <w:rsid w:val="00FA5F25"/>
    <w:rsid w:val="165ACE91"/>
    <w:rsid w:val="25C8E4ED"/>
    <w:rsid w:val="352FA5A6"/>
    <w:rsid w:val="4A16DD43"/>
    <w:rsid w:val="7668F404"/>
    <w:rsid w:val="79776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77191"/>
  <w15:chartTrackingRefBased/>
  <w15:docId w15:val="{46E38259-DC36-44A2-9AAB-705B4EF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26"/>
    <w:rPr>
      <w:lang w:val="en-GB"/>
    </w:rPr>
  </w:style>
  <w:style w:type="paragraph" w:styleId="Heading1">
    <w:name w:val="heading 1"/>
    <w:basedOn w:val="Normal"/>
    <w:next w:val="Normal"/>
    <w:uiPriority w:val="9"/>
    <w:qFormat/>
    <w:rsid w:val="79776295"/>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79776295"/>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rsid w:val="79776295"/>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unhideWhenUsed/>
    <w:qFormat/>
    <w:rsid w:val="79776295"/>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79776295"/>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79776295"/>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79776295"/>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7977629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7977629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79776295"/>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79776295"/>
    <w:rPr>
      <w:rFonts w:eastAsiaTheme="minorEastAsia"/>
      <w:color w:val="5A5A5A"/>
    </w:rPr>
  </w:style>
  <w:style w:type="paragraph" w:styleId="Quote">
    <w:name w:val="Quote"/>
    <w:basedOn w:val="Normal"/>
    <w:next w:val="Normal"/>
    <w:uiPriority w:val="29"/>
    <w:qFormat/>
    <w:rsid w:val="79776295"/>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79776295"/>
    <w:pPr>
      <w:spacing w:before="360" w:after="360"/>
      <w:ind w:left="864" w:right="864"/>
      <w:jc w:val="center"/>
    </w:pPr>
    <w:rPr>
      <w:i/>
      <w:iCs/>
      <w:color w:val="4472C4" w:themeColor="accent1"/>
    </w:rPr>
  </w:style>
  <w:style w:type="paragraph" w:styleId="ListParagraph">
    <w:name w:val="List Paragraph"/>
    <w:basedOn w:val="Normal"/>
    <w:uiPriority w:val="34"/>
    <w:qFormat/>
    <w:rsid w:val="79776295"/>
    <w:pPr>
      <w:ind w:left="720"/>
      <w:contextualSpacing/>
    </w:pPr>
  </w:style>
  <w:style w:type="paragraph" w:styleId="TOC1">
    <w:name w:val="toc 1"/>
    <w:basedOn w:val="Normal"/>
    <w:next w:val="Normal"/>
    <w:uiPriority w:val="39"/>
    <w:unhideWhenUsed/>
    <w:rsid w:val="79776295"/>
    <w:pPr>
      <w:spacing w:after="100"/>
    </w:pPr>
  </w:style>
  <w:style w:type="paragraph" w:styleId="TOC2">
    <w:name w:val="toc 2"/>
    <w:basedOn w:val="Normal"/>
    <w:next w:val="Normal"/>
    <w:uiPriority w:val="39"/>
    <w:unhideWhenUsed/>
    <w:rsid w:val="79776295"/>
    <w:pPr>
      <w:spacing w:after="100"/>
      <w:ind w:left="220"/>
    </w:pPr>
  </w:style>
  <w:style w:type="paragraph" w:styleId="TOC3">
    <w:name w:val="toc 3"/>
    <w:basedOn w:val="Normal"/>
    <w:next w:val="Normal"/>
    <w:uiPriority w:val="39"/>
    <w:unhideWhenUsed/>
    <w:rsid w:val="79776295"/>
    <w:pPr>
      <w:spacing w:after="100"/>
      <w:ind w:left="440"/>
    </w:pPr>
  </w:style>
  <w:style w:type="paragraph" w:styleId="TOC4">
    <w:name w:val="toc 4"/>
    <w:basedOn w:val="Normal"/>
    <w:next w:val="Normal"/>
    <w:uiPriority w:val="39"/>
    <w:unhideWhenUsed/>
    <w:rsid w:val="79776295"/>
    <w:pPr>
      <w:spacing w:after="100"/>
      <w:ind w:left="660"/>
    </w:pPr>
  </w:style>
  <w:style w:type="paragraph" w:styleId="TOC5">
    <w:name w:val="toc 5"/>
    <w:basedOn w:val="Normal"/>
    <w:next w:val="Normal"/>
    <w:uiPriority w:val="39"/>
    <w:unhideWhenUsed/>
    <w:rsid w:val="79776295"/>
    <w:pPr>
      <w:spacing w:after="100"/>
      <w:ind w:left="880"/>
    </w:pPr>
  </w:style>
  <w:style w:type="paragraph" w:styleId="TOC6">
    <w:name w:val="toc 6"/>
    <w:basedOn w:val="Normal"/>
    <w:next w:val="Normal"/>
    <w:uiPriority w:val="39"/>
    <w:unhideWhenUsed/>
    <w:rsid w:val="79776295"/>
    <w:pPr>
      <w:spacing w:after="100"/>
      <w:ind w:left="1100"/>
    </w:pPr>
  </w:style>
  <w:style w:type="paragraph" w:styleId="TOC7">
    <w:name w:val="toc 7"/>
    <w:basedOn w:val="Normal"/>
    <w:next w:val="Normal"/>
    <w:uiPriority w:val="39"/>
    <w:unhideWhenUsed/>
    <w:rsid w:val="79776295"/>
    <w:pPr>
      <w:spacing w:after="100"/>
      <w:ind w:left="1320"/>
    </w:pPr>
  </w:style>
  <w:style w:type="paragraph" w:styleId="TOC8">
    <w:name w:val="toc 8"/>
    <w:basedOn w:val="Normal"/>
    <w:next w:val="Normal"/>
    <w:uiPriority w:val="39"/>
    <w:unhideWhenUsed/>
    <w:rsid w:val="79776295"/>
    <w:pPr>
      <w:spacing w:after="100"/>
      <w:ind w:left="1540"/>
    </w:pPr>
  </w:style>
  <w:style w:type="paragraph" w:styleId="TOC9">
    <w:name w:val="toc 9"/>
    <w:basedOn w:val="Normal"/>
    <w:next w:val="Normal"/>
    <w:uiPriority w:val="39"/>
    <w:unhideWhenUsed/>
    <w:rsid w:val="79776295"/>
    <w:pPr>
      <w:spacing w:after="100"/>
      <w:ind w:left="1760"/>
    </w:pPr>
  </w:style>
  <w:style w:type="paragraph" w:styleId="EndnoteText">
    <w:name w:val="endnote text"/>
    <w:basedOn w:val="Normal"/>
    <w:uiPriority w:val="99"/>
    <w:semiHidden/>
    <w:unhideWhenUsed/>
    <w:rsid w:val="79776295"/>
    <w:pPr>
      <w:spacing w:after="0" w:line="240" w:lineRule="auto"/>
    </w:pPr>
    <w:rPr>
      <w:sz w:val="20"/>
      <w:szCs w:val="20"/>
    </w:rPr>
  </w:style>
  <w:style w:type="paragraph" w:styleId="Footer">
    <w:name w:val="footer"/>
    <w:basedOn w:val="Normal"/>
    <w:link w:val="FooterChar"/>
    <w:uiPriority w:val="99"/>
    <w:unhideWhenUsed/>
    <w:rsid w:val="79776295"/>
    <w:pPr>
      <w:tabs>
        <w:tab w:val="center" w:pos="4680"/>
        <w:tab w:val="right" w:pos="9360"/>
      </w:tabs>
      <w:spacing w:after="0" w:line="240" w:lineRule="auto"/>
    </w:pPr>
  </w:style>
  <w:style w:type="paragraph" w:styleId="FootnoteText">
    <w:name w:val="footnote text"/>
    <w:basedOn w:val="Normal"/>
    <w:uiPriority w:val="99"/>
    <w:semiHidden/>
    <w:unhideWhenUsed/>
    <w:rsid w:val="79776295"/>
    <w:pPr>
      <w:spacing w:after="0" w:line="240" w:lineRule="auto"/>
    </w:pPr>
    <w:rPr>
      <w:sz w:val="20"/>
      <w:szCs w:val="20"/>
    </w:rPr>
  </w:style>
  <w:style w:type="paragraph" w:styleId="Header">
    <w:name w:val="header"/>
    <w:basedOn w:val="Normal"/>
    <w:link w:val="HeaderChar"/>
    <w:uiPriority w:val="99"/>
    <w:unhideWhenUsed/>
    <w:rsid w:val="79776295"/>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235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E07"/>
    <w:rPr>
      <w:b/>
      <w:bCs/>
    </w:rPr>
  </w:style>
  <w:style w:type="character" w:customStyle="1" w:styleId="white-space-pre">
    <w:name w:val="white-space-pre"/>
    <w:basedOn w:val="DefaultParagraphFont"/>
    <w:rsid w:val="00235E07"/>
  </w:style>
  <w:style w:type="paragraph" w:customStyle="1" w:styleId="Default">
    <w:name w:val="Default"/>
    <w:rsid w:val="00E954B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F29F-2964-48E0-8B93-167490F1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17</Pages>
  <Words>5252</Words>
  <Characters>30961</Characters>
  <Application>Microsoft Office Word</Application>
  <DocSecurity>0</DocSecurity>
  <Lines>619</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Campbell</dc:creator>
  <cp:keywords/>
  <dc:description/>
  <cp:lastModifiedBy>Richard Campbell</cp:lastModifiedBy>
  <cp:revision>10</cp:revision>
  <cp:lastPrinted>2023-12-11T12:45:00Z</cp:lastPrinted>
  <dcterms:created xsi:type="dcterms:W3CDTF">2023-12-05T14:42:00Z</dcterms:created>
  <dcterms:modified xsi:type="dcterms:W3CDTF">2023-12-11T12:55:00Z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430acc4178b8bc9f03a8f44d5042e096ba1166865dc0dc75681bdac0a1ae1501</vt:lpwstr>
  </property>
</Properties>
</file>